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4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640" w:right="4619" w:hanging="632"/>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AND EXCHANGE COMMISSION Washington, DC 20549</w:t>
      </w: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FORM 10-Q</w:t>
      </w:r>
    </w:p>
    <w:p>
      <w:pPr>
        <w:spacing w:after="0" w:line="169" w:lineRule="exact"/>
        <w:rPr>
          <w:sz w:val="24"/>
          <w:szCs w:val="24"/>
          <w:color w:val="auto"/>
        </w:rPr>
      </w:pPr>
    </w:p>
    <w:p>
      <w:pPr>
        <w:ind w:left="420" w:right="2839" w:hanging="419"/>
        <w:spacing w:after="0" w:line="347" w:lineRule="auto"/>
        <w:tabs>
          <w:tab w:leader="none" w:pos="400" w:val="left"/>
        </w:tabs>
        <w:rPr>
          <w:sz w:val="20"/>
          <w:szCs w:val="20"/>
          <w:color w:val="auto"/>
        </w:rPr>
      </w:pPr>
      <w:r>
        <w:rPr>
          <w:rFonts w:ascii="Courier New" w:cs="Courier New" w:eastAsia="Courier New" w:hAnsi="Courier New"/>
          <w:sz w:val="18"/>
          <w:szCs w:val="18"/>
          <w:color w:val="auto"/>
        </w:rPr>
        <w:t>/X/</w:t>
        <w:tab/>
        <w:t>QUARTERLY REPORT PURSUANT TO SECTION 13 OR 15(d) OF THE SECURITIES EXCHANGE ACT OF 1934</w:t>
      </w:r>
    </w:p>
    <w:p>
      <w:pPr>
        <w:spacing w:after="0" w:line="1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For the quarterly period ended March 31, 1997</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ind w:left="420" w:right="2739" w:hanging="412"/>
        <w:spacing w:after="0" w:line="347"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1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For the transition period from to</w:t>
      </w:r>
    </w:p>
    <w:p>
      <w:pPr>
        <w:spacing w:after="0" w:line="3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Commission file number 0-19125</w:t>
      </w:r>
    </w:p>
    <w:p>
      <w:pPr>
        <w:spacing w:after="0" w:line="16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ISIS PHARMACEUTICALS, INC.</w:t>
      </w:r>
    </w:p>
    <w:p>
      <w:pPr>
        <w:spacing w:after="0" w:line="3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169"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DELAWARE</w:t>
      </w:r>
    </w:p>
    <w:p>
      <w:pPr>
        <w:spacing w:after="0" w:line="29" w:lineRule="exact"/>
        <w:rPr>
          <w:sz w:val="24"/>
          <w:szCs w:val="24"/>
          <w:color w:val="auto"/>
        </w:rPr>
      </w:pPr>
    </w:p>
    <w:p>
      <w:pPr>
        <w:jc w:val="right"/>
        <w:ind w:right="5059"/>
        <w:spacing w:after="0"/>
        <w:rPr>
          <w:sz w:val="20"/>
          <w:szCs w:val="20"/>
          <w:color w:val="auto"/>
        </w:rPr>
      </w:pPr>
      <w:r>
        <w:rPr>
          <w:rFonts w:ascii="Courier New" w:cs="Courier New" w:eastAsia="Courier New" w:hAnsi="Courier New"/>
          <w:sz w:val="18"/>
          <w:szCs w:val="18"/>
          <w:color w:val="auto"/>
        </w:rPr>
        <w:t>(State or other jurisdiction of</w:t>
      </w:r>
    </w:p>
    <w:p>
      <w:pPr>
        <w:jc w:val="right"/>
        <w:ind w:right="5059"/>
        <w:spacing w:after="0"/>
        <w:rPr>
          <w:sz w:val="20"/>
          <w:szCs w:val="20"/>
          <w:color w:val="auto"/>
        </w:rPr>
      </w:pPr>
      <w:r>
        <w:rPr>
          <w:rFonts w:ascii="Courier New" w:cs="Courier New" w:eastAsia="Courier New" w:hAnsi="Courier New"/>
          <w:sz w:val="18"/>
          <w:szCs w:val="18"/>
          <w:color w:val="auto"/>
        </w:rPr>
        <w:t>incorporation or organization)</w:t>
      </w:r>
    </w:p>
    <w:p>
      <w:pPr>
        <w:spacing w:after="0" w:line="169"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33-0336973</w:t>
      </w:r>
    </w:p>
    <w:p>
      <w:pPr>
        <w:spacing w:after="0" w:line="3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(I.R.S Employer Identification No.)</w:t>
      </w:r>
    </w:p>
    <w:p>
      <w:pPr>
        <w:spacing w:after="0" w:line="169"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2292 Faraday Avenue, Carlsbad, CA 92008</w:t>
      </w:r>
    </w:p>
    <w:p>
      <w:pPr>
        <w:spacing w:after="0" w:line="3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(Address of principal executive offices, including zip code)</w:t>
      </w:r>
    </w:p>
    <w:p>
      <w:pPr>
        <w:spacing w:after="0" w:line="16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760-931-9200</w:t>
      </w:r>
    </w:p>
    <w:p>
      <w:pPr>
        <w:spacing w:after="0" w:line="3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169"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NOT APPLICABLE</w:t>
      </w:r>
    </w:p>
    <w:p>
      <w:pPr>
        <w:spacing w:after="0" w:line="31" w:lineRule="exact"/>
        <w:rPr>
          <w:sz w:val="24"/>
          <w:szCs w:val="24"/>
          <w:color w:val="auto"/>
        </w:rPr>
      </w:pPr>
    </w:p>
    <w:p>
      <w:pPr>
        <w:ind w:left="3280" w:right="2939" w:hanging="2633"/>
        <w:spacing w:after="0" w:line="309" w:lineRule="auto"/>
        <w:rPr>
          <w:sz w:val="20"/>
          <w:szCs w:val="20"/>
          <w:color w:val="auto"/>
        </w:rPr>
      </w:pPr>
      <w:r>
        <w:rPr>
          <w:rFonts w:ascii="Courier New" w:cs="Courier New" w:eastAsia="Courier New" w:hAnsi="Courier New"/>
          <w:sz w:val="18"/>
          <w:szCs w:val="18"/>
          <w:color w:val="auto"/>
        </w:rPr>
        <w:t>(Former name, former address and former fiscal year, if changed since last report)</w:t>
      </w:r>
    </w:p>
    <w:p>
      <w:pPr>
        <w:spacing w:after="0" w:line="51" w:lineRule="exact"/>
        <w:rPr>
          <w:sz w:val="24"/>
          <w:szCs w:val="24"/>
          <w:color w:val="auto"/>
        </w:rPr>
      </w:pPr>
    </w:p>
    <w:p>
      <w:pPr>
        <w:ind w:right="2739" w:firstLine="843"/>
        <w:spacing w:after="0" w:line="306"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 (d) of the Securities Exchange Act of 1934 during the preceding 12 months (or of such shorter period that the registrant was required to file such reports), and (2) has been subject to such filing requirements for the past 90 days.</w:t>
      </w:r>
    </w:p>
    <w:p>
      <w:pPr>
        <w:spacing w:after="0" w:line="60" w:lineRule="exact"/>
        <w:rPr>
          <w:sz w:val="24"/>
          <w:szCs w:val="24"/>
          <w:color w:val="auto"/>
        </w:rPr>
      </w:pPr>
    </w:p>
    <w:p>
      <w:pPr>
        <w:ind w:left="2120"/>
        <w:spacing w:after="0"/>
        <w:tabs>
          <w:tab w:leader="none" w:pos="2720" w:val="left"/>
          <w:tab w:leader="none" w:pos="4420" w:val="left"/>
        </w:tabs>
        <w:rPr>
          <w:sz w:val="20"/>
          <w:szCs w:val="20"/>
          <w:color w:val="auto"/>
        </w:rPr>
      </w:pPr>
      <w:r>
        <w:rPr>
          <w:rFonts w:ascii="Courier New" w:cs="Courier New" w:eastAsia="Courier New" w:hAnsi="Courier New"/>
          <w:sz w:val="18"/>
          <w:szCs w:val="18"/>
          <w:color w:val="auto"/>
        </w:rPr>
        <w:t>(1)</w:t>
        <w:tab/>
        <w:t>YES X</w:t>
      </w:r>
      <w:r>
        <w:rPr>
          <w:sz w:val="20"/>
          <w:szCs w:val="20"/>
          <w:color w:val="auto"/>
        </w:rPr>
        <w:tab/>
      </w:r>
      <w:r>
        <w:rPr>
          <w:rFonts w:ascii="Courier New" w:cs="Courier New" w:eastAsia="Courier New" w:hAnsi="Courier New"/>
          <w:sz w:val="16"/>
          <w:szCs w:val="16"/>
          <w:color w:val="auto"/>
        </w:rPr>
        <w:t>(2) YES X</w:t>
      </w:r>
    </w:p>
    <w:p>
      <w:pPr>
        <w:spacing w:after="0" w:line="201" w:lineRule="exact"/>
        <w:rPr>
          <w:sz w:val="24"/>
          <w:szCs w:val="24"/>
          <w:color w:val="auto"/>
        </w:rPr>
      </w:pPr>
    </w:p>
    <w:p>
      <w:pPr>
        <w:ind w:right="3039" w:firstLine="843"/>
        <w:spacing w:after="0" w:line="420"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ectPr>
          <w:pgSz w:w="11900" w:h="16838" w:orient="portrait"/>
          <w:cols w:equalWidth="0" w:num="1">
            <w:col w:w="10219"/>
          </w:cols>
          <w:pgMar w:left="240" w:top="218" w:right="1440" w:bottom="1440" w:gutter="0" w:footer="0" w:header="0"/>
        </w:sectPr>
      </w:pPr>
    </w:p>
    <w:p>
      <w:pPr>
        <w:spacing w:after="0" w:line="176"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Common stock $.001 par value</w:t>
      </w:r>
    </w:p>
    <w:p>
      <w:pPr>
        <w:spacing w:after="0" w:line="5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(Class)</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26,353,117 shares</w:t>
      </w:r>
    </w:p>
    <w:p>
      <w:pPr>
        <w:spacing w:after="0" w:line="31"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6"/>
          <w:szCs w:val="16"/>
          <w:color w:val="auto"/>
        </w:rPr>
        <w:t>(Outstanding at April 30, 1997)</w:t>
      </w:r>
    </w:p>
    <w:p>
      <w:pPr>
        <w:spacing w:after="0" w:line="222" w:lineRule="exact"/>
        <w:rPr>
          <w:sz w:val="24"/>
          <w:szCs w:val="24"/>
          <w:color w:val="auto"/>
        </w:rPr>
      </w:pPr>
    </w:p>
    <w:p>
      <w:pPr>
        <w:sectPr>
          <w:pgSz w:w="11900" w:h="16838" w:orient="portrait"/>
          <w:cols w:equalWidth="0" w:num="2">
            <w:col w:w="3800" w:space="320"/>
            <w:col w:w="6099"/>
          </w:cols>
          <w:pgMar w:left="240" w:top="218" w:right="1440" w:bottom="1440" w:gutter="0" w:footer="0" w:header="0"/>
          <w:type w:val="continuous"/>
        </w:sectPr>
      </w:pP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EXHIBIT INDEX:</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 27 : FINANCIAL DATA SCHEDULE</w:t>
      </w:r>
    </w:p>
    <w:p>
      <w:pPr>
        <w:spacing w:after="0" w:line="53"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2">
            <w:col w:w="1480" w:space="520"/>
            <w:col w:w="8219"/>
          </w:cols>
          <w:pgMar w:left="240" w:top="218" w:right="1440" w:bottom="1440" w:gutter="0" w:footer="0" w:header="0"/>
          <w:type w:val="continuous"/>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6060" w:type="dxa"/>
            <w:vAlign w:val="bottom"/>
          </w:tcPr>
          <w:p>
            <w:pPr>
              <w:ind w:left="840"/>
              <w:spacing w:after="0"/>
              <w:rPr>
                <w:sz w:val="20"/>
                <w:szCs w:val="20"/>
                <w:color w:val="auto"/>
              </w:rPr>
            </w:pPr>
            <w:r>
              <w:rPr>
                <w:rFonts w:ascii="Courier New" w:cs="Courier New" w:eastAsia="Courier New" w:hAnsi="Courier New"/>
                <w:sz w:val="18"/>
                <w:szCs w:val="18"/>
                <w:color w:val="auto"/>
              </w:rPr>
              <w:t>ISIS PHARMACEUTICALS, INC.</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06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FORM 10-Q</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160" w:type="dxa"/>
            <w:vAlign w:val="bottom"/>
          </w:tcPr>
          <w:p>
            <w:pPr>
              <w:spacing w:after="0"/>
              <w:rPr>
                <w:sz w:val="24"/>
                <w:szCs w:val="24"/>
                <w:color w:val="auto"/>
              </w:rPr>
            </w:pPr>
          </w:p>
        </w:tc>
        <w:tc>
          <w:tcPr>
            <w:tcW w:w="6060" w:type="dxa"/>
            <w:vAlign w:val="bottom"/>
          </w:tcPr>
          <w:p>
            <w:pPr>
              <w:ind w:left="1800"/>
              <w:spacing w:after="0"/>
              <w:rPr>
                <w:sz w:val="20"/>
                <w:szCs w:val="20"/>
                <w:color w:val="auto"/>
              </w:rPr>
            </w:pPr>
            <w:r>
              <w:rPr>
                <w:rFonts w:ascii="Courier New" w:cs="Courier New" w:eastAsia="Courier New" w:hAnsi="Courier New"/>
                <w:sz w:val="18"/>
                <w:szCs w:val="18"/>
                <w:color w:val="auto"/>
              </w:rPr>
              <w:t>INDEX</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4"/>
                <w:szCs w:val="24"/>
                <w:color w:val="auto"/>
              </w:rPr>
            </w:pPr>
          </w:p>
        </w:tc>
        <w:tc>
          <w:tcPr>
            <w:tcW w:w="6060" w:type="dxa"/>
            <w:vAlign w:val="bottom"/>
          </w:tcPr>
          <w:p>
            <w:pPr>
              <w:ind w:left="5280"/>
              <w:spacing w:after="0"/>
              <w:rPr>
                <w:sz w:val="20"/>
                <w:szCs w:val="20"/>
                <w:color w:val="auto"/>
              </w:rPr>
            </w:pPr>
            <w:r>
              <w:rPr>
                <w:rFonts w:ascii="Courier New" w:cs="Courier New" w:eastAsia="Courier New" w:hAnsi="Courier New"/>
                <w:sz w:val="18"/>
                <w:szCs w:val="18"/>
                <w:color w:val="auto"/>
              </w:rPr>
              <w:t>PAGE</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16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6060" w:type="dxa"/>
            <w:vAlign w:val="bottom"/>
          </w:tcPr>
          <w:p>
            <w:pPr>
              <w:ind w:left="120"/>
              <w:spacing w:after="0"/>
              <w:rPr>
                <w:sz w:val="20"/>
                <w:szCs w:val="20"/>
                <w:color w:val="auto"/>
              </w:rPr>
            </w:pPr>
            <w:r>
              <w:rPr>
                <w:rFonts w:ascii="Courier New" w:cs="Courier New" w:eastAsia="Courier New" w:hAnsi="Courier New"/>
                <w:sz w:val="18"/>
                <w:szCs w:val="18"/>
                <w:color w:val="auto"/>
              </w:rPr>
              <w:t>FINANCIAL INFORMATION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6060" w:type="dxa"/>
            <w:vAlign w:val="bottom"/>
          </w:tcPr>
          <w:p>
            <w:pPr>
              <w:ind w:left="120"/>
              <w:spacing w:after="0"/>
              <w:rPr>
                <w:sz w:val="20"/>
                <w:szCs w:val="20"/>
                <w:color w:val="auto"/>
              </w:rPr>
            </w:pPr>
            <w:r>
              <w:rPr>
                <w:rFonts w:ascii="Courier New" w:cs="Courier New" w:eastAsia="Courier New" w:hAnsi="Courier New"/>
                <w:sz w:val="18"/>
                <w:szCs w:val="18"/>
                <w:color w:val="auto"/>
              </w:rPr>
              <w:t>Financial Statements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4"/>
                <w:szCs w:val="24"/>
                <w:color w:val="auto"/>
              </w:rPr>
            </w:pPr>
          </w:p>
        </w:tc>
        <w:tc>
          <w:tcPr>
            <w:tcW w:w="6060" w:type="dxa"/>
            <w:vAlign w:val="bottom"/>
          </w:tcPr>
          <w:p>
            <w:pPr>
              <w:ind w:left="120"/>
              <w:spacing w:after="0"/>
              <w:rPr>
                <w:sz w:val="20"/>
                <w:szCs w:val="20"/>
                <w:color w:val="auto"/>
              </w:rPr>
            </w:pPr>
            <w:r>
              <w:rPr>
                <w:rFonts w:ascii="Courier New" w:cs="Courier New" w:eastAsia="Courier New" w:hAnsi="Courier New"/>
                <w:sz w:val="18"/>
                <w:szCs w:val="18"/>
                <w:color w:val="auto"/>
              </w:rPr>
              <w:t>Condensed Balance Sheets as of March 31, 1997 and</w:t>
            </w:r>
          </w:p>
        </w:tc>
        <w:tc>
          <w:tcPr>
            <w:tcW w:w="900" w:type="dxa"/>
            <w:vAlign w:val="bottom"/>
            <w:vMerge w:val="restart"/>
          </w:tcPr>
          <w:p>
            <w:pPr>
              <w:ind w:left="380"/>
              <w:spacing w:after="0"/>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96"/>
        </w:trPr>
        <w:tc>
          <w:tcPr>
            <w:tcW w:w="1160" w:type="dxa"/>
            <w:vAlign w:val="bottom"/>
          </w:tcPr>
          <w:p>
            <w:pPr>
              <w:spacing w:after="0"/>
              <w:rPr>
                <w:sz w:val="24"/>
                <w:szCs w:val="24"/>
                <w:color w:val="auto"/>
              </w:rPr>
            </w:pPr>
          </w:p>
        </w:tc>
        <w:tc>
          <w:tcPr>
            <w:tcW w:w="6060" w:type="dxa"/>
            <w:vAlign w:val="bottom"/>
          </w:tcPr>
          <w:p>
            <w:pPr>
              <w:ind w:left="120"/>
              <w:spacing w:after="0"/>
              <w:rPr>
                <w:sz w:val="20"/>
                <w:szCs w:val="20"/>
                <w:color w:val="auto"/>
              </w:rPr>
            </w:pPr>
            <w:r>
              <w:rPr>
                <w:rFonts w:ascii="Courier New" w:cs="Courier New" w:eastAsia="Courier New" w:hAnsi="Courier New"/>
                <w:sz w:val="18"/>
                <w:szCs w:val="18"/>
                <w:color w:val="auto"/>
              </w:rPr>
              <w:t>December 31, 1996</w:t>
            </w:r>
          </w:p>
        </w:tc>
        <w:tc>
          <w:tcPr>
            <w:tcW w:w="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4"/>
                <w:szCs w:val="24"/>
                <w:color w:val="auto"/>
              </w:rPr>
            </w:pPr>
          </w:p>
        </w:tc>
        <w:tc>
          <w:tcPr>
            <w:tcW w:w="6060" w:type="dxa"/>
            <w:vAlign w:val="bottom"/>
          </w:tcPr>
          <w:p>
            <w:pPr>
              <w:ind w:left="120"/>
              <w:spacing w:after="0"/>
              <w:rPr>
                <w:sz w:val="20"/>
                <w:szCs w:val="20"/>
                <w:color w:val="auto"/>
              </w:rPr>
            </w:pPr>
            <w:r>
              <w:rPr>
                <w:rFonts w:ascii="Courier New" w:cs="Courier New" w:eastAsia="Courier New" w:hAnsi="Courier New"/>
                <w:sz w:val="18"/>
                <w:szCs w:val="18"/>
                <w:color w:val="auto"/>
              </w:rPr>
              <w:t>Condensed Statements of Operations for three months</w:t>
            </w:r>
          </w:p>
        </w:tc>
        <w:tc>
          <w:tcPr>
            <w:tcW w:w="900" w:type="dxa"/>
            <w:vAlign w:val="bottom"/>
            <w:vMerge w:val="restart"/>
          </w:tcPr>
          <w:p>
            <w:pPr>
              <w:ind w:left="380"/>
              <w:spacing w:after="0"/>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96"/>
        </w:trPr>
        <w:tc>
          <w:tcPr>
            <w:tcW w:w="1160" w:type="dxa"/>
            <w:vAlign w:val="bottom"/>
          </w:tcPr>
          <w:p>
            <w:pPr>
              <w:spacing w:after="0"/>
              <w:rPr>
                <w:sz w:val="24"/>
                <w:szCs w:val="24"/>
                <w:color w:val="auto"/>
              </w:rPr>
            </w:pPr>
          </w:p>
        </w:tc>
        <w:tc>
          <w:tcPr>
            <w:tcW w:w="6060" w:type="dxa"/>
            <w:vAlign w:val="bottom"/>
          </w:tcPr>
          <w:p>
            <w:pPr>
              <w:ind w:left="120"/>
              <w:spacing w:after="0"/>
              <w:rPr>
                <w:sz w:val="20"/>
                <w:szCs w:val="20"/>
                <w:color w:val="auto"/>
              </w:rPr>
            </w:pPr>
            <w:r>
              <w:rPr>
                <w:rFonts w:ascii="Courier New" w:cs="Courier New" w:eastAsia="Courier New" w:hAnsi="Courier New"/>
                <w:sz w:val="18"/>
                <w:szCs w:val="18"/>
                <w:color w:val="auto"/>
              </w:rPr>
              <w:t>ended March 31, 1997 and 1996</w:t>
            </w:r>
          </w:p>
        </w:tc>
        <w:tc>
          <w:tcPr>
            <w:tcW w:w="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4"/>
                <w:szCs w:val="24"/>
                <w:color w:val="auto"/>
              </w:rPr>
            </w:pPr>
          </w:p>
        </w:tc>
        <w:tc>
          <w:tcPr>
            <w:tcW w:w="6060" w:type="dxa"/>
            <w:vAlign w:val="bottom"/>
          </w:tcPr>
          <w:p>
            <w:pPr>
              <w:ind w:left="120"/>
              <w:spacing w:after="0"/>
              <w:rPr>
                <w:sz w:val="20"/>
                <w:szCs w:val="20"/>
                <w:color w:val="auto"/>
              </w:rPr>
            </w:pPr>
            <w:r>
              <w:rPr>
                <w:rFonts w:ascii="Courier New" w:cs="Courier New" w:eastAsia="Courier New" w:hAnsi="Courier New"/>
                <w:sz w:val="18"/>
                <w:szCs w:val="18"/>
                <w:color w:val="auto"/>
              </w:rPr>
              <w:t>Condensed Statements of Cash Flows for the the three</w:t>
            </w:r>
          </w:p>
        </w:tc>
        <w:tc>
          <w:tcPr>
            <w:tcW w:w="900" w:type="dxa"/>
            <w:vAlign w:val="bottom"/>
            <w:vMerge w:val="restart"/>
          </w:tcPr>
          <w:p>
            <w:pPr>
              <w:ind w:left="380"/>
              <w:spacing w:after="0"/>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296"/>
        </w:trPr>
        <w:tc>
          <w:tcPr>
            <w:tcW w:w="1160" w:type="dxa"/>
            <w:vAlign w:val="bottom"/>
          </w:tcPr>
          <w:p>
            <w:pPr>
              <w:spacing w:after="0"/>
              <w:rPr>
                <w:sz w:val="24"/>
                <w:szCs w:val="24"/>
                <w:color w:val="auto"/>
              </w:rPr>
            </w:pPr>
          </w:p>
        </w:tc>
        <w:tc>
          <w:tcPr>
            <w:tcW w:w="6060" w:type="dxa"/>
            <w:vAlign w:val="bottom"/>
          </w:tcPr>
          <w:p>
            <w:pPr>
              <w:ind w:left="120"/>
              <w:spacing w:after="0"/>
              <w:rPr>
                <w:sz w:val="20"/>
                <w:szCs w:val="20"/>
                <w:color w:val="auto"/>
              </w:rPr>
            </w:pPr>
            <w:r>
              <w:rPr>
                <w:rFonts w:ascii="Courier New" w:cs="Courier New" w:eastAsia="Courier New" w:hAnsi="Courier New"/>
                <w:sz w:val="18"/>
                <w:szCs w:val="18"/>
                <w:color w:val="auto"/>
              </w:rPr>
              <w:t>months ended March 31, 1997 and 1996</w:t>
            </w:r>
          </w:p>
        </w:tc>
        <w:tc>
          <w:tcPr>
            <w:tcW w:w="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4"/>
                <w:szCs w:val="24"/>
                <w:color w:val="auto"/>
              </w:rPr>
            </w:pPr>
          </w:p>
        </w:tc>
        <w:tc>
          <w:tcPr>
            <w:tcW w:w="6060" w:type="dxa"/>
            <w:vAlign w:val="bottom"/>
          </w:tcPr>
          <w:p>
            <w:pPr>
              <w:ind w:left="120"/>
              <w:spacing w:after="0"/>
              <w:rPr>
                <w:sz w:val="20"/>
                <w:szCs w:val="20"/>
                <w:color w:val="auto"/>
              </w:rPr>
            </w:pPr>
            <w:r>
              <w:rPr>
                <w:rFonts w:ascii="Courier New" w:cs="Courier New" w:eastAsia="Courier New" w:hAnsi="Courier New"/>
                <w:sz w:val="18"/>
                <w:szCs w:val="18"/>
                <w:color w:val="auto"/>
              </w:rPr>
              <w:t>Notes to Financial Statements</w:t>
            </w:r>
          </w:p>
        </w:tc>
        <w:tc>
          <w:tcPr>
            <w:tcW w:w="900" w:type="dxa"/>
            <w:vAlign w:val="bottom"/>
          </w:tcPr>
          <w:p>
            <w:pPr>
              <w:ind w:left="380"/>
              <w:spacing w:after="0"/>
              <w:rPr>
                <w:sz w:val="20"/>
                <w:szCs w:val="20"/>
                <w:color w:val="auto"/>
              </w:rPr>
            </w:pPr>
            <w:r>
              <w:rPr>
                <w:rFonts w:ascii="Courier New" w:cs="Courier New" w:eastAsia="Courier New" w:hAnsi="Courier New"/>
                <w:sz w:val="18"/>
                <w:szCs w:val="18"/>
                <w:color w:val="auto"/>
              </w:rPr>
              <w:t>6</w:t>
            </w: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060" w:type="dxa"/>
            <w:vAlign w:val="bottom"/>
          </w:tcPr>
          <w:p>
            <w:pPr>
              <w:ind w:left="120"/>
              <w:spacing w:after="0"/>
              <w:rPr>
                <w:sz w:val="20"/>
                <w:szCs w:val="20"/>
                <w:color w:val="auto"/>
              </w:rPr>
            </w:pPr>
            <w:r>
              <w:rPr>
                <w:rFonts w:ascii="Courier New" w:cs="Courier New" w:eastAsia="Courier New" w:hAnsi="Courier New"/>
                <w:sz w:val="18"/>
                <w:szCs w:val="18"/>
                <w:color w:val="auto"/>
              </w:rPr>
              <w:t>Management's Discussion and Analysis of Financial</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160" w:type="dxa"/>
            <w:vAlign w:val="bottom"/>
          </w:tcPr>
          <w:p>
            <w:pPr>
              <w:spacing w:after="0"/>
              <w:rPr>
                <w:sz w:val="24"/>
                <w:szCs w:val="24"/>
                <w:color w:val="auto"/>
              </w:rPr>
            </w:pPr>
          </w:p>
        </w:tc>
        <w:tc>
          <w:tcPr>
            <w:tcW w:w="6060" w:type="dxa"/>
            <w:vAlign w:val="bottom"/>
          </w:tcPr>
          <w:p>
            <w:pPr>
              <w:ind w:left="120"/>
              <w:spacing w:after="0"/>
              <w:rPr>
                <w:sz w:val="20"/>
                <w:szCs w:val="20"/>
                <w:color w:val="auto"/>
              </w:rPr>
            </w:pPr>
            <w:r>
              <w:rPr>
                <w:rFonts w:ascii="Courier New" w:cs="Courier New" w:eastAsia="Courier New" w:hAnsi="Courier New"/>
                <w:sz w:val="18"/>
                <w:szCs w:val="18"/>
                <w:color w:val="auto"/>
              </w:rPr>
              <w:t>Condition and Results of Operations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4"/>
                <w:szCs w:val="24"/>
                <w:color w:val="auto"/>
              </w:rPr>
            </w:pPr>
          </w:p>
        </w:tc>
        <w:tc>
          <w:tcPr>
            <w:tcW w:w="6060" w:type="dxa"/>
            <w:vAlign w:val="bottom"/>
          </w:tcPr>
          <w:p>
            <w:pPr>
              <w:ind w:left="120"/>
              <w:spacing w:after="0"/>
              <w:rPr>
                <w:sz w:val="20"/>
                <w:szCs w:val="20"/>
                <w:color w:val="auto"/>
              </w:rPr>
            </w:pPr>
            <w:r>
              <w:rPr>
                <w:rFonts w:ascii="Courier New" w:cs="Courier New" w:eastAsia="Courier New" w:hAnsi="Courier New"/>
                <w:sz w:val="18"/>
                <w:szCs w:val="18"/>
                <w:color w:val="auto"/>
              </w:rPr>
              <w:t>Results of Operations</w:t>
            </w:r>
          </w:p>
        </w:tc>
        <w:tc>
          <w:tcPr>
            <w:tcW w:w="900" w:type="dxa"/>
            <w:vAlign w:val="bottom"/>
          </w:tcPr>
          <w:p>
            <w:pPr>
              <w:ind w:left="380"/>
              <w:spacing w:after="0"/>
              <w:rPr>
                <w:sz w:val="20"/>
                <w:szCs w:val="20"/>
                <w:color w:val="auto"/>
              </w:rPr>
            </w:pPr>
            <w:r>
              <w:rPr>
                <w:rFonts w:ascii="Courier New" w:cs="Courier New" w:eastAsia="Courier New" w:hAnsi="Courier New"/>
                <w:sz w:val="18"/>
                <w:szCs w:val="18"/>
                <w:color w:val="auto"/>
              </w:rPr>
              <w:t>7</w:t>
            </w: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4"/>
                <w:szCs w:val="24"/>
                <w:color w:val="auto"/>
              </w:rPr>
            </w:pPr>
          </w:p>
        </w:tc>
        <w:tc>
          <w:tcPr>
            <w:tcW w:w="6060" w:type="dxa"/>
            <w:vAlign w:val="bottom"/>
          </w:tcPr>
          <w:p>
            <w:pPr>
              <w:ind w:left="120"/>
              <w:spacing w:after="0"/>
              <w:rPr>
                <w:sz w:val="20"/>
                <w:szCs w:val="20"/>
                <w:color w:val="auto"/>
              </w:rPr>
            </w:pPr>
            <w:r>
              <w:rPr>
                <w:rFonts w:ascii="Courier New" w:cs="Courier New" w:eastAsia="Courier New" w:hAnsi="Courier New"/>
                <w:sz w:val="18"/>
                <w:szCs w:val="18"/>
                <w:color w:val="auto"/>
              </w:rPr>
              <w:t>Liquidity and Capital Resources</w:t>
            </w:r>
          </w:p>
        </w:tc>
        <w:tc>
          <w:tcPr>
            <w:tcW w:w="900" w:type="dxa"/>
            <w:vAlign w:val="bottom"/>
          </w:tcPr>
          <w:p>
            <w:pPr>
              <w:ind w:left="380"/>
              <w:spacing w:after="0"/>
              <w:rPr>
                <w:sz w:val="20"/>
                <w:szCs w:val="20"/>
                <w:color w:val="auto"/>
              </w:rPr>
            </w:pPr>
            <w:r>
              <w:rPr>
                <w:rFonts w:ascii="Courier New" w:cs="Courier New" w:eastAsia="Courier New" w:hAnsi="Courier New"/>
                <w:sz w:val="18"/>
                <w:szCs w:val="18"/>
                <w:color w:val="auto"/>
                <w:w w:val="92"/>
              </w:rPr>
              <w:t>8 - 9</w:t>
            </w: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6060" w:type="dxa"/>
            <w:vAlign w:val="bottom"/>
          </w:tcPr>
          <w:p>
            <w:pPr>
              <w:ind w:left="120"/>
              <w:spacing w:after="0"/>
              <w:rPr>
                <w:sz w:val="20"/>
                <w:szCs w:val="20"/>
                <w:color w:val="auto"/>
              </w:rPr>
            </w:pPr>
            <w:r>
              <w:rPr>
                <w:rFonts w:ascii="Courier New" w:cs="Courier New" w:eastAsia="Courier New" w:hAnsi="Courier New"/>
                <w:sz w:val="18"/>
                <w:szCs w:val="18"/>
                <w:color w:val="auto"/>
              </w:rPr>
              <w:t>OTHER INFORMATION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6060" w:type="dxa"/>
            <w:vAlign w:val="bottom"/>
          </w:tcPr>
          <w:p>
            <w:pPr>
              <w:ind w:left="120"/>
              <w:spacing w:after="0"/>
              <w:rPr>
                <w:sz w:val="20"/>
                <w:szCs w:val="20"/>
                <w:color w:val="auto"/>
              </w:rPr>
            </w:pPr>
            <w:r>
              <w:rPr>
                <w:rFonts w:ascii="Courier New" w:cs="Courier New" w:eastAsia="Courier New" w:hAnsi="Courier New"/>
                <w:sz w:val="18"/>
                <w:szCs w:val="18"/>
                <w:color w:val="auto"/>
              </w:rPr>
              <w:t>Legal Proceedings</w:t>
            </w:r>
          </w:p>
        </w:tc>
        <w:tc>
          <w:tcPr>
            <w:tcW w:w="900" w:type="dxa"/>
            <w:vAlign w:val="bottom"/>
          </w:tcPr>
          <w:p>
            <w:pPr>
              <w:ind w:left="380"/>
              <w:spacing w:after="0"/>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060" w:type="dxa"/>
            <w:vAlign w:val="bottom"/>
          </w:tcPr>
          <w:p>
            <w:pPr>
              <w:ind w:left="120"/>
              <w:spacing w:after="0"/>
              <w:rPr>
                <w:sz w:val="20"/>
                <w:szCs w:val="20"/>
                <w:color w:val="auto"/>
              </w:rPr>
            </w:pPr>
            <w:r>
              <w:rPr>
                <w:rFonts w:ascii="Courier New" w:cs="Courier New" w:eastAsia="Courier New" w:hAnsi="Courier New"/>
                <w:sz w:val="18"/>
                <w:szCs w:val="18"/>
                <w:color w:val="auto"/>
              </w:rPr>
              <w:t>Changes in Securities</w:t>
            </w:r>
          </w:p>
        </w:tc>
        <w:tc>
          <w:tcPr>
            <w:tcW w:w="900" w:type="dxa"/>
            <w:vAlign w:val="bottom"/>
          </w:tcPr>
          <w:p>
            <w:pPr>
              <w:ind w:left="380"/>
              <w:spacing w:after="0"/>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060" w:type="dxa"/>
            <w:vAlign w:val="bottom"/>
          </w:tcPr>
          <w:p>
            <w:pPr>
              <w:ind w:left="120"/>
              <w:spacing w:after="0"/>
              <w:rPr>
                <w:sz w:val="20"/>
                <w:szCs w:val="20"/>
                <w:color w:val="auto"/>
              </w:rPr>
            </w:pPr>
            <w:r>
              <w:rPr>
                <w:rFonts w:ascii="Courier New" w:cs="Courier New" w:eastAsia="Courier New" w:hAnsi="Courier New"/>
                <w:sz w:val="18"/>
                <w:szCs w:val="18"/>
                <w:color w:val="auto"/>
              </w:rPr>
              <w:t>Default upon Senior Securities</w:t>
            </w:r>
          </w:p>
        </w:tc>
        <w:tc>
          <w:tcPr>
            <w:tcW w:w="900" w:type="dxa"/>
            <w:vAlign w:val="bottom"/>
          </w:tcPr>
          <w:p>
            <w:pPr>
              <w:ind w:left="380"/>
              <w:spacing w:after="0"/>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6060" w:type="dxa"/>
            <w:vAlign w:val="bottom"/>
          </w:tcPr>
          <w:p>
            <w:pPr>
              <w:ind w:left="120"/>
              <w:spacing w:after="0"/>
              <w:rPr>
                <w:sz w:val="20"/>
                <w:szCs w:val="20"/>
                <w:color w:val="auto"/>
              </w:rPr>
            </w:pPr>
            <w:r>
              <w:rPr>
                <w:rFonts w:ascii="Courier New" w:cs="Courier New" w:eastAsia="Courier New" w:hAnsi="Courier New"/>
                <w:sz w:val="18"/>
                <w:szCs w:val="18"/>
                <w:color w:val="auto"/>
              </w:rPr>
              <w:t>Submission of Matters to a Vote of Security Holders</w:t>
            </w:r>
          </w:p>
        </w:tc>
        <w:tc>
          <w:tcPr>
            <w:tcW w:w="900" w:type="dxa"/>
            <w:vAlign w:val="bottom"/>
          </w:tcPr>
          <w:p>
            <w:pPr>
              <w:ind w:left="380"/>
              <w:spacing w:after="0"/>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6060" w:type="dxa"/>
            <w:vAlign w:val="bottom"/>
          </w:tcPr>
          <w:p>
            <w:pPr>
              <w:ind w:left="120"/>
              <w:spacing w:after="0"/>
              <w:rPr>
                <w:sz w:val="20"/>
                <w:szCs w:val="20"/>
                <w:color w:val="auto"/>
              </w:rPr>
            </w:pPr>
            <w:r>
              <w:rPr>
                <w:rFonts w:ascii="Courier New" w:cs="Courier New" w:eastAsia="Courier New" w:hAnsi="Courier New"/>
                <w:sz w:val="18"/>
                <w:szCs w:val="18"/>
                <w:color w:val="auto"/>
              </w:rPr>
              <w:t>Other Information</w:t>
            </w:r>
          </w:p>
        </w:tc>
        <w:tc>
          <w:tcPr>
            <w:tcW w:w="900" w:type="dxa"/>
            <w:vAlign w:val="bottom"/>
          </w:tcPr>
          <w:p>
            <w:pPr>
              <w:ind w:left="380"/>
              <w:spacing w:after="0"/>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6060" w:type="dxa"/>
            <w:vAlign w:val="bottom"/>
          </w:tcPr>
          <w:p>
            <w:pPr>
              <w:ind w:left="120"/>
              <w:spacing w:after="0"/>
              <w:rPr>
                <w:sz w:val="20"/>
                <w:szCs w:val="20"/>
                <w:color w:val="auto"/>
              </w:rPr>
            </w:pPr>
            <w:r>
              <w:rPr>
                <w:rFonts w:ascii="Courier New" w:cs="Courier New" w:eastAsia="Courier New" w:hAnsi="Courier New"/>
                <w:sz w:val="18"/>
                <w:szCs w:val="18"/>
                <w:color w:val="auto"/>
              </w:rPr>
              <w:t>Exhibits and Reports on Form 8-K</w:t>
            </w:r>
          </w:p>
        </w:tc>
        <w:tc>
          <w:tcPr>
            <w:tcW w:w="900" w:type="dxa"/>
            <w:vAlign w:val="bottom"/>
          </w:tcPr>
          <w:p>
            <w:pPr>
              <w:ind w:left="380"/>
              <w:spacing w:after="0"/>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SIGNATURES</w:t>
            </w:r>
          </w:p>
        </w:tc>
        <w:tc>
          <w:tcPr>
            <w:tcW w:w="6060" w:type="dxa"/>
            <w:vAlign w:val="bottom"/>
          </w:tcPr>
          <w:p>
            <w:pPr>
              <w:spacing w:after="0"/>
              <w:rPr>
                <w:sz w:val="24"/>
                <w:szCs w:val="24"/>
                <w:color w:val="auto"/>
              </w:rPr>
            </w:pPr>
          </w:p>
        </w:tc>
        <w:tc>
          <w:tcPr>
            <w:tcW w:w="900" w:type="dxa"/>
            <w:vAlign w:val="bottom"/>
          </w:tcPr>
          <w:p>
            <w:pPr>
              <w:ind w:left="380"/>
              <w:spacing w:after="0"/>
              <w:rPr>
                <w:sz w:val="20"/>
                <w:szCs w:val="20"/>
                <w:color w:val="auto"/>
              </w:rPr>
            </w:pPr>
            <w:r>
              <w:rPr>
                <w:rFonts w:ascii="Courier New" w:cs="Courier New" w:eastAsia="Courier New" w:hAnsi="Courier New"/>
                <w:sz w:val="18"/>
                <w:szCs w:val="18"/>
                <w:color w:val="auto"/>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85" w:right="1440" w:bottom="1440" w:gutter="0" w:footer="0" w:header="0"/>
        </w:sectPr>
      </w:pPr>
    </w:p>
    <w:bookmarkStart w:id="2" w:name="page3"/>
    <w:bookmarkEnd w:id="2"/>
    <w:p>
      <w:pPr>
        <w:ind w:left="540"/>
        <w:spacing w:after="0"/>
        <w:rPr>
          <w:sz w:val="20"/>
          <w:szCs w:val="20"/>
          <w:color w:val="auto"/>
        </w:rPr>
      </w:pPr>
      <w:r>
        <w:rPr>
          <w:rFonts w:ascii="Courier New" w:cs="Courier New" w:eastAsia="Courier New" w:hAnsi="Courier New"/>
          <w:sz w:val="18"/>
          <w:szCs w:val="18"/>
          <w:color w:val="auto"/>
        </w:rPr>
        <w:t>3</w:t>
      </w:r>
    </w:p>
    <w:p>
      <w:pPr>
        <w:spacing w:after="0" w:line="29" w:lineRule="exact"/>
        <w:rPr>
          <w:sz w:val="20"/>
          <w:szCs w:val="20"/>
          <w:color w:val="auto"/>
        </w:rPr>
      </w:pPr>
    </w:p>
    <w:p>
      <w:pPr>
        <w:jc w:val="center"/>
        <w:ind w:right="1139"/>
        <w:spacing w:after="0"/>
        <w:rPr>
          <w:sz w:val="20"/>
          <w:szCs w:val="20"/>
          <w:color w:val="auto"/>
        </w:rPr>
      </w:pPr>
      <w:r>
        <w:rPr>
          <w:rFonts w:ascii="Courier New" w:cs="Courier New" w:eastAsia="Courier New" w:hAnsi="Courier New"/>
          <w:sz w:val="18"/>
          <w:szCs w:val="18"/>
          <w:color w:val="auto"/>
        </w:rPr>
        <w:t>ISIS PHARMACEUTICALS, INC.</w:t>
      </w:r>
    </w:p>
    <w:p>
      <w:pPr>
        <w:ind w:left="3280"/>
        <w:spacing w:after="0" w:line="238" w:lineRule="auto"/>
        <w:rPr>
          <w:sz w:val="20"/>
          <w:szCs w:val="20"/>
          <w:color w:val="auto"/>
        </w:rPr>
      </w:pPr>
      <w:r>
        <w:rPr>
          <w:rFonts w:ascii="Courier New" w:cs="Courier New" w:eastAsia="Courier New" w:hAnsi="Courier New"/>
          <w:sz w:val="18"/>
          <w:szCs w:val="18"/>
          <w:color w:val="auto"/>
        </w:rPr>
        <w:t>CONDENSED BALANCE SHEETS</w:t>
      </w:r>
    </w:p>
    <w:p>
      <w:pPr>
        <w:ind w:left="2860"/>
        <w:spacing w:after="0"/>
        <w:rPr>
          <w:sz w:val="20"/>
          <w:szCs w:val="20"/>
          <w:color w:val="auto"/>
        </w:rPr>
      </w:pPr>
      <w:r>
        <w:rPr>
          <w:rFonts w:ascii="Courier New" w:cs="Courier New" w:eastAsia="Courier New" w:hAnsi="Courier New"/>
          <w:sz w:val="18"/>
          <w:szCs w:val="18"/>
          <w:color w:val="auto"/>
        </w:rPr>
        <w:t>(in thousands, except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900" w:type="dxa"/>
            <w:vAlign w:val="bottom"/>
          </w:tcPr>
          <w:p>
            <w:pPr>
              <w:ind w:left="3380"/>
              <w:spacing w:after="0"/>
              <w:rPr>
                <w:sz w:val="20"/>
                <w:szCs w:val="20"/>
                <w:color w:val="auto"/>
              </w:rPr>
            </w:pPr>
            <w:r>
              <w:rPr>
                <w:rFonts w:ascii="Courier New" w:cs="Courier New" w:eastAsia="Courier New" w:hAnsi="Courier New"/>
                <w:sz w:val="18"/>
                <w:szCs w:val="18"/>
                <w:color w:val="auto"/>
              </w:rPr>
              <w:t>ASSETS</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4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8"/>
                <w:szCs w:val="18"/>
                <w:color w:val="auto"/>
              </w:rPr>
              <w:t>March 31,</w:t>
            </w:r>
          </w:p>
        </w:tc>
        <w:tc>
          <w:tcPr>
            <w:tcW w:w="3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8"/>
                <w:szCs w:val="18"/>
                <w:color w:val="auto"/>
                <w:w w:val="98"/>
              </w:rPr>
              <w:t>December 31,</w:t>
            </w: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1997</w:t>
            </w:r>
          </w:p>
        </w:tc>
        <w:tc>
          <w:tcPr>
            <w:tcW w:w="30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1996</w:t>
            </w: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(Unaudited)</w:t>
            </w:r>
          </w:p>
        </w:tc>
        <w:tc>
          <w:tcPr>
            <w:tcW w:w="300" w:type="dxa"/>
            <w:vAlign w:val="bottom"/>
          </w:tcPr>
          <w:p>
            <w:pPr>
              <w:spacing w:after="0"/>
              <w:rPr>
                <w:sz w:val="17"/>
                <w:szCs w:val="17"/>
                <w:color w:val="auto"/>
              </w:rPr>
            </w:pPr>
          </w:p>
        </w:tc>
        <w:tc>
          <w:tcPr>
            <w:tcW w:w="1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(Note)</w:t>
            </w:r>
          </w:p>
        </w:tc>
        <w:tc>
          <w:tcPr>
            <w:tcW w:w="0" w:type="dxa"/>
            <w:vAlign w:val="bottom"/>
          </w:tcPr>
          <w:p>
            <w:pPr>
              <w:spacing w:after="0"/>
              <w:rPr>
                <w:sz w:val="1"/>
                <w:szCs w:val="1"/>
                <w:color w:val="auto"/>
              </w:rPr>
            </w:pPr>
          </w:p>
        </w:tc>
      </w:tr>
      <w:tr>
        <w:trPr>
          <w:trHeight w:val="296"/>
        </w:trPr>
        <w:tc>
          <w:tcPr>
            <w:tcW w:w="4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311"/>
        </w:trPr>
        <w:tc>
          <w:tcPr>
            <w:tcW w:w="490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26,249</w:t>
            </w:r>
          </w:p>
        </w:tc>
        <w:tc>
          <w:tcPr>
            <w:tcW w:w="3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37,082</w:t>
            </w:r>
          </w:p>
        </w:tc>
        <w:tc>
          <w:tcPr>
            <w:tcW w:w="0" w:type="dxa"/>
            <w:vAlign w:val="bottom"/>
          </w:tcPr>
          <w:p>
            <w:pPr>
              <w:spacing w:after="0"/>
              <w:rPr>
                <w:sz w:val="1"/>
                <w:szCs w:val="1"/>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6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6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45,146</w:t>
            </w:r>
          </w:p>
        </w:tc>
        <w:tc>
          <w:tcPr>
            <w:tcW w:w="30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40,542</w:t>
            </w:r>
          </w:p>
        </w:tc>
        <w:tc>
          <w:tcPr>
            <w:tcW w:w="0" w:type="dxa"/>
            <w:vAlign w:val="bottom"/>
          </w:tcPr>
          <w:p>
            <w:pPr>
              <w:spacing w:after="0"/>
              <w:rPr>
                <w:sz w:val="1"/>
                <w:szCs w:val="1"/>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 and other current assets</w:t>
            </w:r>
          </w:p>
        </w:tc>
        <w:tc>
          <w:tcPr>
            <w:tcW w:w="16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1,791</w:t>
            </w:r>
          </w:p>
        </w:tc>
        <w:tc>
          <w:tcPr>
            <w:tcW w:w="30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1,732</w:t>
            </w:r>
          </w:p>
        </w:tc>
        <w:tc>
          <w:tcPr>
            <w:tcW w:w="0" w:type="dxa"/>
            <w:vAlign w:val="bottom"/>
          </w:tcPr>
          <w:p>
            <w:pPr>
              <w:spacing w:after="0"/>
              <w:rPr>
                <w:sz w:val="1"/>
                <w:szCs w:val="1"/>
                <w:color w:val="auto"/>
              </w:rPr>
            </w:pPr>
          </w:p>
        </w:tc>
      </w:tr>
      <w:tr>
        <w:trPr>
          <w:trHeight w:val="203"/>
        </w:trPr>
        <w:tc>
          <w:tcPr>
            <w:tcW w:w="4900" w:type="dxa"/>
            <w:vAlign w:val="bottom"/>
            <w:vMerge w:val="restart"/>
          </w:tcPr>
          <w:p>
            <w:pPr>
              <w:ind w:left="960"/>
              <w:spacing w:after="0"/>
              <w:rPr>
                <w:sz w:val="20"/>
                <w:szCs w:val="20"/>
                <w:color w:val="auto"/>
              </w:rPr>
            </w:pPr>
            <w:r>
              <w:rPr>
                <w:rFonts w:ascii="Courier New" w:cs="Courier New" w:eastAsia="Courier New" w:hAnsi="Courier New"/>
                <w:sz w:val="18"/>
                <w:szCs w:val="18"/>
                <w:color w:val="auto"/>
              </w:rPr>
              <w:t>Total current assets</w:t>
            </w:r>
          </w:p>
        </w:tc>
        <w:tc>
          <w:tcPr>
            <w:tcW w:w="16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73,186</w:t>
            </w:r>
          </w:p>
        </w:tc>
        <w:tc>
          <w:tcPr>
            <w:tcW w:w="300" w:type="dxa"/>
            <w:vAlign w:val="bottom"/>
          </w:tcPr>
          <w:p>
            <w:pPr>
              <w:spacing w:after="0"/>
              <w:rPr>
                <w:sz w:val="24"/>
                <w:szCs w:val="24"/>
                <w:color w:val="auto"/>
              </w:rPr>
            </w:pPr>
          </w:p>
        </w:tc>
        <w:tc>
          <w:tcPr>
            <w:tcW w:w="12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79,356</w:t>
            </w:r>
          </w:p>
        </w:tc>
        <w:tc>
          <w:tcPr>
            <w:tcW w:w="0" w:type="dxa"/>
            <w:vAlign w:val="bottom"/>
          </w:tcPr>
          <w:p>
            <w:pPr>
              <w:spacing w:after="0"/>
              <w:rPr>
                <w:sz w:val="1"/>
                <w:szCs w:val="1"/>
                <w:color w:val="auto"/>
              </w:rPr>
            </w:pPr>
          </w:p>
        </w:tc>
      </w:tr>
      <w:tr>
        <w:trPr>
          <w:trHeight w:val="311"/>
        </w:trPr>
        <w:tc>
          <w:tcPr>
            <w:tcW w:w="490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net</w:t>
            </w:r>
          </w:p>
        </w:tc>
        <w:tc>
          <w:tcPr>
            <w:tcW w:w="160" w:type="dxa"/>
            <w:vAlign w:val="bottom"/>
          </w:tcPr>
          <w:p>
            <w:pPr>
              <w:spacing w:after="0"/>
              <w:rPr>
                <w:sz w:val="24"/>
                <w:szCs w:val="24"/>
                <w:color w:val="auto"/>
              </w:rPr>
            </w:pPr>
          </w:p>
        </w:tc>
        <w:tc>
          <w:tcPr>
            <w:tcW w:w="13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17,791</w:t>
            </w:r>
          </w:p>
        </w:tc>
        <w:tc>
          <w:tcPr>
            <w:tcW w:w="300" w:type="dxa"/>
            <w:vAlign w:val="bottom"/>
          </w:tcPr>
          <w:p>
            <w:pPr>
              <w:spacing w:after="0"/>
              <w:rPr>
                <w:sz w:val="24"/>
                <w:szCs w:val="24"/>
                <w:color w:val="auto"/>
              </w:rPr>
            </w:pPr>
          </w:p>
        </w:tc>
        <w:tc>
          <w:tcPr>
            <w:tcW w:w="12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15,334</w:t>
            </w:r>
          </w:p>
        </w:tc>
        <w:tc>
          <w:tcPr>
            <w:tcW w:w="0" w:type="dxa"/>
            <w:vAlign w:val="bottom"/>
          </w:tcPr>
          <w:p>
            <w:pPr>
              <w:spacing w:after="0"/>
              <w:rPr>
                <w:sz w:val="1"/>
                <w:szCs w:val="1"/>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Patent cost, net</w:t>
            </w:r>
          </w:p>
        </w:tc>
        <w:tc>
          <w:tcPr>
            <w:tcW w:w="16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6,393</w:t>
            </w:r>
          </w:p>
        </w:tc>
        <w:tc>
          <w:tcPr>
            <w:tcW w:w="30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6,157</w:t>
            </w:r>
          </w:p>
        </w:tc>
        <w:tc>
          <w:tcPr>
            <w:tcW w:w="0" w:type="dxa"/>
            <w:vAlign w:val="bottom"/>
          </w:tcPr>
          <w:p>
            <w:pPr>
              <w:spacing w:after="0"/>
              <w:rPr>
                <w:sz w:val="1"/>
                <w:szCs w:val="1"/>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Deposits and other assets</w:t>
            </w:r>
          </w:p>
        </w:tc>
        <w:tc>
          <w:tcPr>
            <w:tcW w:w="16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468</w:t>
            </w:r>
          </w:p>
        </w:tc>
        <w:tc>
          <w:tcPr>
            <w:tcW w:w="30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458</w:t>
            </w: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97,838</w:t>
            </w:r>
          </w:p>
        </w:tc>
        <w:tc>
          <w:tcPr>
            <w:tcW w:w="1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$ 101,305</w:t>
            </w: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6440" w:type="dxa"/>
            <w:vAlign w:val="bottom"/>
            <w:gridSpan w:val="3"/>
          </w:tcPr>
          <w:p>
            <w:pPr>
              <w:jc w:val="right"/>
              <w:ind w:right="972"/>
              <w:spacing w:after="0"/>
              <w:rPr>
                <w:sz w:val="20"/>
                <w:szCs w:val="20"/>
                <w:color w:val="auto"/>
              </w:rPr>
            </w:pPr>
            <w:r>
              <w:rPr>
                <w:rFonts w:ascii="Courier New" w:cs="Courier New" w:eastAsia="Courier New" w:hAnsi="Courier New"/>
                <w:sz w:val="18"/>
                <w:szCs w:val="18"/>
                <w:color w:val="auto"/>
              </w:rPr>
              <w:t>LIABILITIES AND STOCKHOLDERS' EQUITY</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90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2,434</w:t>
            </w:r>
          </w:p>
        </w:tc>
        <w:tc>
          <w:tcPr>
            <w:tcW w:w="3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2,362</w:t>
            </w:r>
          </w:p>
        </w:tc>
        <w:tc>
          <w:tcPr>
            <w:tcW w:w="0" w:type="dxa"/>
            <w:vAlign w:val="bottom"/>
          </w:tcPr>
          <w:p>
            <w:pPr>
              <w:spacing w:after="0"/>
              <w:rPr>
                <w:sz w:val="1"/>
                <w:szCs w:val="1"/>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6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payroll and related expenses</w:t>
            </w:r>
          </w:p>
        </w:tc>
        <w:tc>
          <w:tcPr>
            <w:tcW w:w="16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892</w:t>
            </w:r>
          </w:p>
        </w:tc>
        <w:tc>
          <w:tcPr>
            <w:tcW w:w="30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1,489</w:t>
            </w:r>
          </w:p>
        </w:tc>
        <w:tc>
          <w:tcPr>
            <w:tcW w:w="0" w:type="dxa"/>
            <w:vAlign w:val="bottom"/>
          </w:tcPr>
          <w:p>
            <w:pPr>
              <w:spacing w:after="0"/>
              <w:rPr>
                <w:sz w:val="1"/>
                <w:szCs w:val="1"/>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16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3,908</w:t>
            </w:r>
          </w:p>
        </w:tc>
        <w:tc>
          <w:tcPr>
            <w:tcW w:w="30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2,763</w:t>
            </w:r>
          </w:p>
        </w:tc>
        <w:tc>
          <w:tcPr>
            <w:tcW w:w="0" w:type="dxa"/>
            <w:vAlign w:val="bottom"/>
          </w:tcPr>
          <w:p>
            <w:pPr>
              <w:spacing w:after="0"/>
              <w:rPr>
                <w:sz w:val="1"/>
                <w:szCs w:val="1"/>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contract revenues</w:t>
            </w:r>
          </w:p>
        </w:tc>
        <w:tc>
          <w:tcPr>
            <w:tcW w:w="16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13,837</w:t>
            </w:r>
          </w:p>
        </w:tc>
        <w:tc>
          <w:tcPr>
            <w:tcW w:w="30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10,204</w:t>
            </w:r>
          </w:p>
        </w:tc>
        <w:tc>
          <w:tcPr>
            <w:tcW w:w="0" w:type="dxa"/>
            <w:vAlign w:val="bottom"/>
          </w:tcPr>
          <w:p>
            <w:pPr>
              <w:spacing w:after="0"/>
              <w:rPr>
                <w:sz w:val="1"/>
                <w:szCs w:val="1"/>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portion of long-term debt and</w:t>
            </w:r>
          </w:p>
        </w:tc>
        <w:tc>
          <w:tcPr>
            <w:tcW w:w="160" w:type="dxa"/>
            <w:vAlign w:val="bottom"/>
          </w:tcPr>
          <w:p>
            <w:pPr>
              <w:spacing w:after="0"/>
              <w:rPr>
                <w:sz w:val="17"/>
                <w:szCs w:val="17"/>
                <w:color w:val="auto"/>
              </w:rPr>
            </w:pPr>
          </w:p>
        </w:tc>
        <w:tc>
          <w:tcPr>
            <w:tcW w:w="138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5,963</w:t>
            </w:r>
          </w:p>
        </w:tc>
        <w:tc>
          <w:tcPr>
            <w:tcW w:w="300" w:type="dxa"/>
            <w:vAlign w:val="bottom"/>
          </w:tcPr>
          <w:p>
            <w:pPr>
              <w:spacing w:after="0"/>
              <w:rPr>
                <w:sz w:val="17"/>
                <w:szCs w:val="17"/>
                <w:color w:val="auto"/>
              </w:rPr>
            </w:pPr>
          </w:p>
        </w:tc>
        <w:tc>
          <w:tcPr>
            <w:tcW w:w="128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6,238</w:t>
            </w:r>
          </w:p>
        </w:tc>
        <w:tc>
          <w:tcPr>
            <w:tcW w:w="0" w:type="dxa"/>
            <w:vAlign w:val="bottom"/>
          </w:tcPr>
          <w:p>
            <w:pPr>
              <w:spacing w:after="0"/>
              <w:rPr>
                <w:sz w:val="1"/>
                <w:szCs w:val="1"/>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lease obligations</w:t>
            </w:r>
          </w:p>
        </w:tc>
        <w:tc>
          <w:tcPr>
            <w:tcW w:w="1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vMerge w:val="restart"/>
          </w:tcPr>
          <w:p>
            <w:pPr>
              <w:ind w:left="1060"/>
              <w:spacing w:after="0"/>
              <w:rPr>
                <w:sz w:val="20"/>
                <w:szCs w:val="20"/>
                <w:color w:val="auto"/>
              </w:rPr>
            </w:pPr>
            <w:r>
              <w:rPr>
                <w:rFonts w:ascii="Courier New" w:cs="Courier New" w:eastAsia="Courier New" w:hAnsi="Courier New"/>
                <w:sz w:val="18"/>
                <w:szCs w:val="18"/>
                <w:color w:val="auto"/>
              </w:rPr>
              <w:t>Total current liabilities</w:t>
            </w:r>
          </w:p>
        </w:tc>
        <w:tc>
          <w:tcPr>
            <w:tcW w:w="16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27,034</w:t>
            </w:r>
          </w:p>
        </w:tc>
        <w:tc>
          <w:tcPr>
            <w:tcW w:w="300" w:type="dxa"/>
            <w:vAlign w:val="bottom"/>
          </w:tcPr>
          <w:p>
            <w:pPr>
              <w:spacing w:after="0"/>
              <w:rPr>
                <w:sz w:val="24"/>
                <w:szCs w:val="24"/>
                <w:color w:val="auto"/>
              </w:rPr>
            </w:pPr>
          </w:p>
        </w:tc>
        <w:tc>
          <w:tcPr>
            <w:tcW w:w="12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23,056</w:t>
            </w:r>
          </w:p>
        </w:tc>
        <w:tc>
          <w:tcPr>
            <w:tcW w:w="0" w:type="dxa"/>
            <w:vAlign w:val="bottom"/>
          </w:tcPr>
          <w:p>
            <w:pPr>
              <w:spacing w:after="0"/>
              <w:rPr>
                <w:sz w:val="1"/>
                <w:szCs w:val="1"/>
                <w:color w:val="auto"/>
              </w:rPr>
            </w:pPr>
          </w:p>
        </w:tc>
      </w:tr>
      <w:tr>
        <w:trPr>
          <w:trHeight w:val="311"/>
        </w:trPr>
        <w:tc>
          <w:tcPr>
            <w:tcW w:w="4900" w:type="dxa"/>
            <w:vAlign w:val="bottom"/>
          </w:tcPr>
          <w:p>
            <w:pPr>
              <w:spacing w:after="0"/>
              <w:rPr>
                <w:sz w:val="20"/>
                <w:szCs w:val="20"/>
                <w:color w:val="auto"/>
              </w:rPr>
            </w:pPr>
            <w:r>
              <w:rPr>
                <w:rFonts w:ascii="Courier New" w:cs="Courier New" w:eastAsia="Courier New" w:hAnsi="Courier New"/>
                <w:sz w:val="18"/>
                <w:szCs w:val="18"/>
                <w:color w:val="auto"/>
              </w:rPr>
              <w:t>Long-term debt and capital lease obligations,</w:t>
            </w:r>
          </w:p>
        </w:tc>
        <w:tc>
          <w:tcPr>
            <w:tcW w:w="160" w:type="dxa"/>
            <w:vAlign w:val="bottom"/>
          </w:tcPr>
          <w:p>
            <w:pPr>
              <w:spacing w:after="0"/>
              <w:rPr>
                <w:sz w:val="24"/>
                <w:szCs w:val="24"/>
                <w:color w:val="auto"/>
              </w:rPr>
            </w:pPr>
          </w:p>
        </w:tc>
        <w:tc>
          <w:tcPr>
            <w:tcW w:w="138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19,817</w:t>
            </w:r>
          </w:p>
        </w:tc>
        <w:tc>
          <w:tcPr>
            <w:tcW w:w="300" w:type="dxa"/>
            <w:vAlign w:val="bottom"/>
          </w:tcPr>
          <w:p>
            <w:pPr>
              <w:spacing w:after="0"/>
              <w:rPr>
                <w:sz w:val="24"/>
                <w:szCs w:val="24"/>
                <w:color w:val="auto"/>
              </w:rPr>
            </w:pPr>
          </w:p>
        </w:tc>
        <w:tc>
          <w:tcPr>
            <w:tcW w:w="128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19,864</w:t>
            </w:r>
          </w:p>
        </w:tc>
        <w:tc>
          <w:tcPr>
            <w:tcW w:w="0" w:type="dxa"/>
            <w:vAlign w:val="bottom"/>
          </w:tcPr>
          <w:p>
            <w:pPr>
              <w:spacing w:after="0"/>
              <w:rPr>
                <w:sz w:val="1"/>
                <w:szCs w:val="1"/>
                <w:color w:val="auto"/>
              </w:rPr>
            </w:pPr>
          </w:p>
        </w:tc>
      </w:tr>
      <w:tr>
        <w:trPr>
          <w:trHeight w:val="296"/>
        </w:trPr>
        <w:tc>
          <w:tcPr>
            <w:tcW w:w="4900" w:type="dxa"/>
            <w:vAlign w:val="bottom"/>
          </w:tcPr>
          <w:p>
            <w:pPr>
              <w:ind w:left="220"/>
              <w:spacing w:after="0"/>
              <w:rPr>
                <w:sz w:val="20"/>
                <w:szCs w:val="20"/>
                <w:color w:val="auto"/>
              </w:rPr>
            </w:pPr>
            <w:r>
              <w:rPr>
                <w:rFonts w:ascii="Courier New" w:cs="Courier New" w:eastAsia="Courier New" w:hAnsi="Courier New"/>
                <w:sz w:val="18"/>
                <w:szCs w:val="18"/>
                <w:color w:val="auto"/>
              </w:rPr>
              <w:t>less current portion</w:t>
            </w:r>
          </w:p>
        </w:tc>
        <w:tc>
          <w:tcPr>
            <w:tcW w:w="16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90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50,000,000 shares authorized,</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26,336,000 shares and 26,201,000 shares</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issued and outstanding at March 31, 1997 and</w:t>
            </w:r>
          </w:p>
        </w:tc>
        <w:tc>
          <w:tcPr>
            <w:tcW w:w="160" w:type="dxa"/>
            <w:vAlign w:val="bottom"/>
          </w:tcPr>
          <w:p>
            <w:pPr>
              <w:spacing w:after="0"/>
              <w:rPr>
                <w:sz w:val="17"/>
                <w:szCs w:val="17"/>
                <w:color w:val="auto"/>
              </w:rPr>
            </w:pPr>
          </w:p>
        </w:tc>
        <w:tc>
          <w:tcPr>
            <w:tcW w:w="138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26</w:t>
            </w:r>
          </w:p>
        </w:tc>
        <w:tc>
          <w:tcPr>
            <w:tcW w:w="300" w:type="dxa"/>
            <w:vAlign w:val="bottom"/>
          </w:tcPr>
          <w:p>
            <w:pPr>
              <w:spacing w:after="0"/>
              <w:rPr>
                <w:sz w:val="17"/>
                <w:szCs w:val="17"/>
                <w:color w:val="auto"/>
              </w:rPr>
            </w:pPr>
          </w:p>
        </w:tc>
        <w:tc>
          <w:tcPr>
            <w:tcW w:w="128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26</w:t>
            </w:r>
          </w:p>
        </w:tc>
        <w:tc>
          <w:tcPr>
            <w:tcW w:w="0" w:type="dxa"/>
            <w:vAlign w:val="bottom"/>
          </w:tcPr>
          <w:p>
            <w:pPr>
              <w:spacing w:after="0"/>
              <w:rPr>
                <w:sz w:val="1"/>
                <w:szCs w:val="1"/>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December 31, 1996, respectively</w:t>
            </w:r>
          </w:p>
        </w:tc>
        <w:tc>
          <w:tcPr>
            <w:tcW w:w="1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6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182,384</w:t>
            </w:r>
          </w:p>
        </w:tc>
        <w:tc>
          <w:tcPr>
            <w:tcW w:w="30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5"/>
              </w:rPr>
              <w:t>181,248</w:t>
            </w:r>
          </w:p>
        </w:tc>
        <w:tc>
          <w:tcPr>
            <w:tcW w:w="0" w:type="dxa"/>
            <w:vAlign w:val="bottom"/>
          </w:tcPr>
          <w:p>
            <w:pPr>
              <w:spacing w:after="0"/>
              <w:rPr>
                <w:sz w:val="1"/>
                <w:szCs w:val="1"/>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Unrealized gain on investments</w:t>
            </w:r>
          </w:p>
        </w:tc>
        <w:tc>
          <w:tcPr>
            <w:tcW w:w="16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198</w:t>
            </w:r>
          </w:p>
        </w:tc>
        <w:tc>
          <w:tcPr>
            <w:tcW w:w="30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178</w:t>
            </w:r>
          </w:p>
        </w:tc>
        <w:tc>
          <w:tcPr>
            <w:tcW w:w="0" w:type="dxa"/>
            <w:vAlign w:val="bottom"/>
          </w:tcPr>
          <w:p>
            <w:pPr>
              <w:spacing w:after="0"/>
              <w:rPr>
                <w:sz w:val="1"/>
                <w:szCs w:val="1"/>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(131,621)</w:t>
            </w:r>
          </w:p>
        </w:tc>
        <w:tc>
          <w:tcPr>
            <w:tcW w:w="1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(123,067)</w:t>
            </w:r>
          </w:p>
        </w:tc>
        <w:tc>
          <w:tcPr>
            <w:tcW w:w="0" w:type="dxa"/>
            <w:vAlign w:val="bottom"/>
          </w:tcPr>
          <w:p>
            <w:pPr>
              <w:spacing w:after="0"/>
              <w:rPr>
                <w:sz w:val="1"/>
                <w:szCs w:val="1"/>
                <w:color w:val="auto"/>
              </w:rPr>
            </w:pPr>
          </w:p>
        </w:tc>
      </w:tr>
      <w:tr>
        <w:trPr>
          <w:trHeight w:val="203"/>
        </w:trPr>
        <w:tc>
          <w:tcPr>
            <w:tcW w:w="490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Total stockholders' equity</w:t>
            </w: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w:t>
            </w:r>
          </w:p>
        </w:tc>
        <w:tc>
          <w:tcPr>
            <w:tcW w:w="1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50,987</w:t>
            </w:r>
          </w:p>
        </w:tc>
        <w:tc>
          <w:tcPr>
            <w:tcW w:w="30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58,385</w:t>
            </w: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w:t>
            </w:r>
          </w:p>
        </w:tc>
        <w:tc>
          <w:tcPr>
            <w:tcW w:w="1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97,838</w:t>
            </w:r>
          </w:p>
        </w:tc>
        <w:tc>
          <w:tcPr>
            <w:tcW w:w="158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$ 101,305</w:t>
            </w:r>
          </w:p>
        </w:tc>
        <w:tc>
          <w:tcPr>
            <w:tcW w:w="0" w:type="dxa"/>
            <w:vAlign w:val="bottom"/>
          </w:tcPr>
          <w:p>
            <w:pPr>
              <w:spacing w:after="0"/>
              <w:rPr>
                <w:sz w:val="1"/>
                <w:szCs w:val="1"/>
                <w:color w:val="auto"/>
              </w:rPr>
            </w:pPr>
          </w:p>
        </w:tc>
      </w:tr>
      <w:tr>
        <w:trPr>
          <w:trHeight w:val="296"/>
        </w:trPr>
        <w:tc>
          <w:tcPr>
            <w:tcW w:w="4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24"/>
                <w:szCs w:val="24"/>
                <w:color w:val="auto"/>
              </w:rPr>
            </w:pPr>
          </w:p>
        </w:tc>
        <w:tc>
          <w:tcPr>
            <w:tcW w:w="128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1999"/>
        <w:spacing w:after="0" w:line="257" w:lineRule="auto"/>
        <w:rPr>
          <w:sz w:val="20"/>
          <w:szCs w:val="20"/>
          <w:color w:val="auto"/>
        </w:rPr>
      </w:pPr>
      <w:r>
        <w:rPr>
          <w:rFonts w:ascii="Courier New" w:cs="Courier New" w:eastAsia="Courier New" w:hAnsi="Courier New"/>
          <w:sz w:val="18"/>
          <w:szCs w:val="18"/>
          <w:color w:val="auto"/>
        </w:rPr>
        <w:t>Note: The balance sheet at December 31, 1996 has been derived from the audited financial statements at that date.</w:t>
      </w:r>
    </w:p>
    <w:p>
      <w:pPr>
        <w:ind w:left="3280"/>
        <w:spacing w:after="0"/>
        <w:rPr>
          <w:sz w:val="20"/>
          <w:szCs w:val="20"/>
          <w:color w:val="auto"/>
        </w:rPr>
      </w:pPr>
      <w:r>
        <w:rPr>
          <w:rFonts w:ascii="Courier New" w:cs="Courier New" w:eastAsia="Courier New" w:hAnsi="Courier New"/>
          <w:sz w:val="18"/>
          <w:szCs w:val="18"/>
          <w:color w:val="auto"/>
        </w:rPr>
        <w:t>See accompanying notes.</w:t>
      </w: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285" w:right="1440" w:bottom="1440" w:gutter="0" w:footer="0" w:header="0"/>
        </w:sectPr>
      </w:pPr>
    </w:p>
    <w:bookmarkStart w:id="3" w:name="page4"/>
    <w:bookmarkEnd w:id="3"/>
    <w:p>
      <w:pPr>
        <w:ind w:left="120"/>
        <w:spacing w:after="0"/>
        <w:rPr>
          <w:sz w:val="20"/>
          <w:szCs w:val="20"/>
          <w:color w:val="auto"/>
        </w:rPr>
      </w:pPr>
      <w:r>
        <w:rPr>
          <w:rFonts w:ascii="Courier New" w:cs="Courier New" w:eastAsia="Courier New" w:hAnsi="Courier New"/>
          <w:sz w:val="18"/>
          <w:szCs w:val="18"/>
          <w:color w:val="auto"/>
        </w:rPr>
        <w:t>4</w:t>
      </w:r>
    </w:p>
    <w:p>
      <w:pPr>
        <w:spacing w:after="0" w:line="29"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ISIS PHARMACEUTICALS, INC.</w:t>
      </w:r>
    </w:p>
    <w:p>
      <w:pPr>
        <w:jc w:val="center"/>
        <w:ind w:right="2199"/>
        <w:spacing w:after="0" w:line="238" w:lineRule="auto"/>
        <w:rPr>
          <w:sz w:val="20"/>
          <w:szCs w:val="20"/>
          <w:color w:val="auto"/>
        </w:rPr>
      </w:pPr>
      <w:r>
        <w:rPr>
          <w:rFonts w:ascii="Courier New" w:cs="Courier New" w:eastAsia="Courier New" w:hAnsi="Courier New"/>
          <w:sz w:val="18"/>
          <w:szCs w:val="18"/>
          <w:color w:val="auto"/>
        </w:rPr>
        <w:t>CONDENSED STATEMENTS OF OPERATIONS</w:t>
      </w:r>
    </w:p>
    <w:p>
      <w:pPr>
        <w:ind w:left="1800"/>
        <w:spacing w:after="0"/>
        <w:rPr>
          <w:sz w:val="20"/>
          <w:szCs w:val="20"/>
          <w:color w:val="auto"/>
        </w:rPr>
      </w:pPr>
      <w:r>
        <w:rPr>
          <w:rFonts w:ascii="Courier New" w:cs="Courier New" w:eastAsia="Courier New" w:hAnsi="Courier New"/>
          <w:sz w:val="18"/>
          <w:szCs w:val="18"/>
          <w:color w:val="auto"/>
        </w:rPr>
        <w:t>(in thousands, except for per share amounts)</w:t>
      </w:r>
    </w:p>
    <w:p>
      <w:pPr>
        <w:ind w:left="33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58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Three months ended</w:t>
            </w:r>
          </w:p>
        </w:tc>
        <w:tc>
          <w:tcPr>
            <w:tcW w:w="0" w:type="dxa"/>
            <w:vAlign w:val="bottom"/>
          </w:tcPr>
          <w:p>
            <w:pPr>
              <w:spacing w:after="0"/>
              <w:rPr>
                <w:sz w:val="1"/>
                <w:szCs w:val="1"/>
                <w:color w:val="auto"/>
              </w:rPr>
            </w:pPr>
          </w:p>
        </w:tc>
      </w:tr>
      <w:tr>
        <w:trPr>
          <w:trHeight w:val="203"/>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 31,</w:t>
            </w:r>
          </w:p>
        </w:tc>
        <w:tc>
          <w:tcPr>
            <w:tcW w:w="100" w:type="dxa"/>
            <w:vAlign w:val="bottom"/>
          </w:tcPr>
          <w:p>
            <w:pPr>
              <w:spacing w:after="0"/>
              <w:rPr>
                <w:sz w:val="17"/>
                <w:szCs w:val="17"/>
                <w:color w:val="auto"/>
              </w:rPr>
            </w:pPr>
          </w:p>
        </w:tc>
        <w:tc>
          <w:tcPr>
            <w:tcW w:w="8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w w:val="97"/>
              </w:rPr>
              <w:t>1996</w:t>
            </w:r>
          </w:p>
        </w:tc>
        <w:tc>
          <w:tcPr>
            <w:tcW w:w="0" w:type="dxa"/>
            <w:vAlign w:val="bottom"/>
          </w:tcPr>
          <w:p>
            <w:pPr>
              <w:spacing w:after="0"/>
              <w:rPr>
                <w:sz w:val="1"/>
                <w:szCs w:val="1"/>
                <w:color w:val="auto"/>
              </w:rPr>
            </w:pPr>
          </w:p>
        </w:tc>
      </w:tr>
      <w:tr>
        <w:trPr>
          <w:trHeight w:val="203"/>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1997</w:t>
            </w:r>
          </w:p>
        </w:tc>
        <w:tc>
          <w:tcPr>
            <w:tcW w:w="1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514"/>
        </w:trPr>
        <w:tc>
          <w:tcPr>
            <w:tcW w:w="448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 revenue under</w:t>
            </w:r>
          </w:p>
        </w:tc>
        <w:tc>
          <w:tcPr>
            <w:tcW w:w="5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620" w:type="dxa"/>
            <w:vAlign w:val="bottom"/>
            <w:vMerge w:val="restart"/>
          </w:tcPr>
          <w:p>
            <w:pPr>
              <w:jc w:val="right"/>
              <w:ind w:right="852"/>
              <w:spacing w:after="0"/>
              <w:rPr>
                <w:sz w:val="20"/>
                <w:szCs w:val="20"/>
                <w:color w:val="auto"/>
              </w:rPr>
            </w:pPr>
            <w:r>
              <w:rPr>
                <w:rFonts w:ascii="Courier New" w:cs="Courier New" w:eastAsia="Courier New" w:hAnsi="Courier New"/>
                <w:sz w:val="18"/>
                <w:szCs w:val="18"/>
                <w:color w:val="auto"/>
              </w:rPr>
              <w:t>4,626</w:t>
            </w:r>
          </w:p>
        </w:tc>
        <w:tc>
          <w:tcPr>
            <w:tcW w:w="100" w:type="dxa"/>
            <w:vAlign w:val="bottom"/>
            <w:vMerge w:val="restart"/>
          </w:tcPr>
          <w:p>
            <w:pPr>
              <w:spacing w:after="0"/>
              <w:rPr>
                <w:sz w:val="20"/>
                <w:szCs w:val="20"/>
                <w:color w:val="auto"/>
              </w:rPr>
            </w:pPr>
            <w:r>
              <w:rPr>
                <w:rFonts w:ascii="Courier New" w:cs="Courier New" w:eastAsia="Courier New" w:hAnsi="Courier New"/>
                <w:sz w:val="18"/>
                <w:szCs w:val="18"/>
                <w:color w:val="auto"/>
                <w:w w:val="73"/>
              </w:rPr>
              <w:t>$</w:t>
            </w:r>
          </w:p>
        </w:tc>
        <w:tc>
          <w:tcPr>
            <w:tcW w:w="8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5,359</w:t>
            </w:r>
          </w:p>
        </w:tc>
        <w:tc>
          <w:tcPr>
            <w:tcW w:w="0" w:type="dxa"/>
            <w:vAlign w:val="bottom"/>
          </w:tcPr>
          <w:p>
            <w:pPr>
              <w:spacing w:after="0"/>
              <w:rPr>
                <w:sz w:val="1"/>
                <w:szCs w:val="1"/>
                <w:color w:val="auto"/>
              </w:rPr>
            </w:pP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collaborative agreements:</w:t>
            </w:r>
          </w:p>
        </w:tc>
        <w:tc>
          <w:tcPr>
            <w:tcW w:w="54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Income</w:t>
            </w:r>
          </w:p>
        </w:tc>
        <w:tc>
          <w:tcPr>
            <w:tcW w:w="540" w:type="dxa"/>
            <w:vAlign w:val="bottom"/>
          </w:tcPr>
          <w:p>
            <w:pPr>
              <w:spacing w:after="0"/>
              <w:rPr>
                <w:sz w:val="17"/>
                <w:szCs w:val="17"/>
                <w:color w:val="auto"/>
              </w:rPr>
            </w:pPr>
          </w:p>
        </w:tc>
        <w:tc>
          <w:tcPr>
            <w:tcW w:w="16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947</w:t>
            </w:r>
          </w:p>
        </w:tc>
        <w:tc>
          <w:tcPr>
            <w:tcW w:w="1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1,050</w:t>
            </w:r>
          </w:p>
        </w:tc>
        <w:tc>
          <w:tcPr>
            <w:tcW w:w="0" w:type="dxa"/>
            <w:vAlign w:val="bottom"/>
          </w:tcPr>
          <w:p>
            <w:pPr>
              <w:spacing w:after="0"/>
              <w:rPr>
                <w:sz w:val="1"/>
                <w:szCs w:val="1"/>
                <w:color w:val="auto"/>
              </w:rPr>
            </w:pPr>
          </w:p>
        </w:tc>
      </w:tr>
      <w:tr>
        <w:trPr>
          <w:trHeight w:val="203"/>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5,573</w:t>
            </w:r>
          </w:p>
        </w:tc>
        <w:tc>
          <w:tcPr>
            <w:tcW w:w="10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6,409</w:t>
            </w:r>
          </w:p>
        </w:tc>
        <w:tc>
          <w:tcPr>
            <w:tcW w:w="0" w:type="dxa"/>
            <w:vAlign w:val="bottom"/>
          </w:tcPr>
          <w:p>
            <w:pPr>
              <w:spacing w:after="0"/>
              <w:rPr>
                <w:sz w:val="1"/>
                <w:szCs w:val="1"/>
                <w:color w:val="auto"/>
              </w:rPr>
            </w:pPr>
          </w:p>
        </w:tc>
      </w:tr>
      <w:tr>
        <w:trPr>
          <w:trHeight w:val="311"/>
        </w:trPr>
        <w:tc>
          <w:tcPr>
            <w:tcW w:w="448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540" w:type="dxa"/>
            <w:vAlign w:val="bottom"/>
          </w:tcPr>
          <w:p>
            <w:pPr>
              <w:spacing w:after="0"/>
              <w:rPr>
                <w:sz w:val="24"/>
                <w:szCs w:val="24"/>
                <w:color w:val="auto"/>
              </w:rPr>
            </w:pPr>
          </w:p>
        </w:tc>
        <w:tc>
          <w:tcPr>
            <w:tcW w:w="1620" w:type="dxa"/>
            <w:vAlign w:val="bottom"/>
            <w:vMerge w:val="restart"/>
          </w:tcPr>
          <w:p>
            <w:pPr>
              <w:jc w:val="right"/>
              <w:ind w:right="852"/>
              <w:spacing w:after="0"/>
              <w:rPr>
                <w:sz w:val="20"/>
                <w:szCs w:val="20"/>
                <w:color w:val="auto"/>
              </w:rPr>
            </w:pPr>
            <w:r>
              <w:rPr>
                <w:rFonts w:ascii="Courier New" w:cs="Courier New" w:eastAsia="Courier New" w:hAnsi="Courier New"/>
                <w:sz w:val="18"/>
                <w:szCs w:val="18"/>
                <w:color w:val="auto"/>
              </w:rPr>
              <w:t>11,786</w:t>
            </w:r>
          </w:p>
        </w:tc>
        <w:tc>
          <w:tcPr>
            <w:tcW w:w="100" w:type="dxa"/>
            <w:vAlign w:val="bottom"/>
          </w:tcPr>
          <w:p>
            <w:pPr>
              <w:spacing w:after="0"/>
              <w:rPr>
                <w:sz w:val="24"/>
                <w:szCs w:val="24"/>
                <w:color w:val="auto"/>
              </w:rPr>
            </w:pPr>
          </w:p>
        </w:tc>
        <w:tc>
          <w:tcPr>
            <w:tcW w:w="8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9,816</w:t>
            </w:r>
          </w:p>
        </w:tc>
        <w:tc>
          <w:tcPr>
            <w:tcW w:w="0" w:type="dxa"/>
            <w:vAlign w:val="bottom"/>
          </w:tcPr>
          <w:p>
            <w:pPr>
              <w:spacing w:after="0"/>
              <w:rPr>
                <w:sz w:val="1"/>
                <w:szCs w:val="1"/>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54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540" w:type="dxa"/>
            <w:vAlign w:val="bottom"/>
          </w:tcPr>
          <w:p>
            <w:pPr>
              <w:spacing w:after="0"/>
              <w:rPr>
                <w:sz w:val="17"/>
                <w:szCs w:val="17"/>
                <w:color w:val="auto"/>
              </w:rPr>
            </w:pPr>
          </w:p>
        </w:tc>
        <w:tc>
          <w:tcPr>
            <w:tcW w:w="16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1,707</w:t>
            </w:r>
          </w:p>
        </w:tc>
        <w:tc>
          <w:tcPr>
            <w:tcW w:w="1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1,398</w:t>
            </w:r>
          </w:p>
        </w:tc>
        <w:tc>
          <w:tcPr>
            <w:tcW w:w="0" w:type="dxa"/>
            <w:vAlign w:val="bottom"/>
          </w:tcPr>
          <w:p>
            <w:pPr>
              <w:spacing w:after="0"/>
              <w:rPr>
                <w:sz w:val="1"/>
                <w:szCs w:val="1"/>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540" w:type="dxa"/>
            <w:vAlign w:val="bottom"/>
          </w:tcPr>
          <w:p>
            <w:pPr>
              <w:spacing w:after="0"/>
              <w:rPr>
                <w:sz w:val="17"/>
                <w:szCs w:val="17"/>
                <w:color w:val="auto"/>
              </w:rPr>
            </w:pPr>
          </w:p>
        </w:tc>
        <w:tc>
          <w:tcPr>
            <w:tcW w:w="16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634</w:t>
            </w:r>
          </w:p>
        </w:tc>
        <w:tc>
          <w:tcPr>
            <w:tcW w:w="1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248</w:t>
            </w:r>
          </w:p>
        </w:tc>
        <w:tc>
          <w:tcPr>
            <w:tcW w:w="0" w:type="dxa"/>
            <w:vAlign w:val="bottom"/>
          </w:tcPr>
          <w:p>
            <w:pPr>
              <w:spacing w:after="0"/>
              <w:rPr>
                <w:sz w:val="1"/>
                <w:szCs w:val="1"/>
                <w:color w:val="auto"/>
              </w:rPr>
            </w:pPr>
          </w:p>
        </w:tc>
      </w:tr>
      <w:tr>
        <w:trPr>
          <w:trHeight w:val="203"/>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14,127</w:t>
            </w:r>
          </w:p>
        </w:tc>
        <w:tc>
          <w:tcPr>
            <w:tcW w:w="1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11,462</w:t>
            </w:r>
          </w:p>
        </w:tc>
        <w:tc>
          <w:tcPr>
            <w:tcW w:w="0" w:type="dxa"/>
            <w:vAlign w:val="bottom"/>
          </w:tcPr>
          <w:p>
            <w:pPr>
              <w:spacing w:after="0"/>
              <w:rPr>
                <w:sz w:val="1"/>
                <w:szCs w:val="1"/>
                <w:color w:val="auto"/>
              </w:rPr>
            </w:pPr>
          </w:p>
        </w:tc>
      </w:tr>
      <w:tr>
        <w:trPr>
          <w:trHeight w:val="203"/>
        </w:trPr>
        <w:tc>
          <w:tcPr>
            <w:tcW w:w="4480" w:type="dxa"/>
            <w:vAlign w:val="bottom"/>
            <w:vMerge w:val="restart"/>
          </w:tcPr>
          <w:p>
            <w:pPr>
              <w:spacing w:after="0"/>
              <w:rPr>
                <w:sz w:val="20"/>
                <w:szCs w:val="20"/>
                <w:color w:val="auto"/>
              </w:rPr>
            </w:pPr>
            <w:r>
              <w:rPr>
                <w:rFonts w:ascii="Courier New" w:cs="Courier New" w:eastAsia="Courier New" w:hAnsi="Courier New"/>
                <w:sz w:val="18"/>
                <w:szCs w:val="18"/>
                <w:color w:val="auto"/>
              </w:rPr>
              <w:t>Net Loss</w:t>
            </w:r>
          </w:p>
        </w:tc>
        <w:tc>
          <w:tcPr>
            <w:tcW w:w="5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vMerge w:val="restart"/>
          </w:tcPr>
          <w:p>
            <w:pPr>
              <w:spacing w:after="0"/>
              <w:rPr>
                <w:sz w:val="20"/>
                <w:szCs w:val="20"/>
                <w:color w:val="auto"/>
              </w:rPr>
            </w:pPr>
            <w:r>
              <w:rPr>
                <w:rFonts w:ascii="Courier New" w:cs="Courier New" w:eastAsia="Courier New" w:hAnsi="Courier New"/>
                <w:sz w:val="18"/>
                <w:szCs w:val="18"/>
                <w:color w:val="auto"/>
                <w:w w:val="73"/>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8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16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(8,554)</w:t>
            </w:r>
          </w:p>
        </w:tc>
        <w:tc>
          <w:tcPr>
            <w:tcW w:w="100" w:type="dxa"/>
            <w:vAlign w:val="bottom"/>
            <w:vMerge w:val="continue"/>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(5,053)</w:t>
            </w:r>
          </w:p>
        </w:tc>
        <w:tc>
          <w:tcPr>
            <w:tcW w:w="0" w:type="dxa"/>
            <w:vAlign w:val="bottom"/>
          </w:tcPr>
          <w:p>
            <w:pPr>
              <w:spacing w:after="0"/>
              <w:rPr>
                <w:sz w:val="1"/>
                <w:szCs w:val="1"/>
                <w:color w:val="auto"/>
              </w:rPr>
            </w:pPr>
          </w:p>
        </w:tc>
      </w:tr>
      <w:tr>
        <w:trPr>
          <w:trHeight w:val="296"/>
        </w:trPr>
        <w:tc>
          <w:tcPr>
            <w:tcW w:w="4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Loss per share</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(.33)</w:t>
            </w:r>
          </w:p>
        </w:tc>
        <w:tc>
          <w:tcPr>
            <w:tcW w:w="100" w:type="dxa"/>
            <w:vAlign w:val="bottom"/>
          </w:tcPr>
          <w:p>
            <w:pPr>
              <w:spacing w:after="0"/>
              <w:rPr>
                <w:sz w:val="20"/>
                <w:szCs w:val="20"/>
                <w:color w:val="auto"/>
              </w:rPr>
            </w:pPr>
            <w:r>
              <w:rPr>
                <w:rFonts w:ascii="Courier New" w:cs="Courier New" w:eastAsia="Courier New" w:hAnsi="Courier New"/>
                <w:sz w:val="18"/>
                <w:szCs w:val="18"/>
                <w:color w:val="auto"/>
                <w:w w:val="73"/>
              </w:rPr>
              <w:t>$</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(.20)</w:t>
            </w:r>
          </w:p>
        </w:tc>
        <w:tc>
          <w:tcPr>
            <w:tcW w:w="0" w:type="dxa"/>
            <w:vAlign w:val="bottom"/>
          </w:tcPr>
          <w:p>
            <w:pPr>
              <w:spacing w:after="0"/>
              <w:rPr>
                <w:sz w:val="1"/>
                <w:szCs w:val="1"/>
                <w:color w:val="auto"/>
              </w:rPr>
            </w:pPr>
          </w:p>
        </w:tc>
      </w:tr>
      <w:tr>
        <w:trPr>
          <w:trHeight w:val="296"/>
        </w:trPr>
        <w:tc>
          <w:tcPr>
            <w:tcW w:w="4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48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w:t>
            </w:r>
          </w:p>
        </w:tc>
        <w:tc>
          <w:tcPr>
            <w:tcW w:w="540" w:type="dxa"/>
            <w:vAlign w:val="bottom"/>
          </w:tcPr>
          <w:p>
            <w:pPr>
              <w:spacing w:after="0"/>
              <w:rPr>
                <w:sz w:val="24"/>
                <w:szCs w:val="24"/>
                <w:color w:val="auto"/>
              </w:rPr>
            </w:pPr>
          </w:p>
        </w:tc>
        <w:tc>
          <w:tcPr>
            <w:tcW w:w="162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26,278</w:t>
            </w:r>
          </w:p>
        </w:tc>
        <w:tc>
          <w:tcPr>
            <w:tcW w:w="10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25,348</w:t>
            </w:r>
          </w:p>
        </w:tc>
        <w:tc>
          <w:tcPr>
            <w:tcW w:w="0" w:type="dxa"/>
            <w:vAlign w:val="bottom"/>
          </w:tcPr>
          <w:p>
            <w:pPr>
              <w:spacing w:after="0"/>
              <w:rPr>
                <w:sz w:val="1"/>
                <w:szCs w:val="1"/>
                <w:color w:val="auto"/>
              </w:rPr>
            </w:pPr>
          </w:p>
        </w:tc>
      </w:tr>
      <w:tr>
        <w:trPr>
          <w:trHeight w:val="296"/>
        </w:trPr>
        <w:tc>
          <w:tcPr>
            <w:tcW w:w="4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285" w:right="1440" w:bottom="144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ISIS PHARMACEUTICALS, INC.</w:t>
      </w:r>
    </w:p>
    <w:p>
      <w:pPr>
        <w:spacing w:after="0" w:line="29"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CONDENSED STATEMENT OF CASH FLOWS</w:t>
      </w:r>
    </w:p>
    <w:p>
      <w:pPr>
        <w:jc w:val="center"/>
        <w:ind w:right="2619"/>
        <w:spacing w:after="0" w:line="238" w:lineRule="auto"/>
        <w:rPr>
          <w:sz w:val="20"/>
          <w:szCs w:val="20"/>
          <w:color w:val="auto"/>
        </w:rPr>
      </w:pPr>
      <w:r>
        <w:rPr>
          <w:rFonts w:ascii="Courier New" w:cs="Courier New" w:eastAsia="Courier New" w:hAnsi="Courier New"/>
          <w:sz w:val="18"/>
          <w:szCs w:val="18"/>
          <w:color w:val="auto"/>
        </w:rPr>
        <w:t>(in thousands)</w:t>
      </w:r>
    </w:p>
    <w:tbl>
      <w:tblPr>
        <w:tblLayout w:type="fixed"/>
        <w:tblInd w:w="0" w:type="dxa"/>
        <w:tblCellMar>
          <w:top w:w="0" w:type="dxa"/>
          <w:left w:w="0" w:type="dxa"/>
          <w:bottom w:w="0" w:type="dxa"/>
          <w:right w:w="0" w:type="dxa"/>
        </w:tblCellMar>
      </w:tblPr>
      <w:tr>
        <w:trPr>
          <w:trHeight w:val="296"/>
        </w:trPr>
        <w:tc>
          <w:tcPr>
            <w:tcW w:w="4740" w:type="dxa"/>
            <w:vAlign w:val="bottom"/>
          </w:tcPr>
          <w:p>
            <w:pPr>
              <w:ind w:left="3280"/>
              <w:spacing w:after="0"/>
              <w:rPr>
                <w:sz w:val="20"/>
                <w:szCs w:val="20"/>
                <w:color w:val="auto"/>
              </w:rPr>
            </w:pPr>
            <w:r>
              <w:rPr>
                <w:rFonts w:ascii="Courier New" w:cs="Courier New" w:eastAsia="Courier New" w:hAnsi="Courier New"/>
                <w:sz w:val="18"/>
                <w:szCs w:val="18"/>
                <w:color w:val="auto"/>
              </w:rPr>
              <w:t>(Unaudited)</w:t>
            </w: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5"/>
        </w:trPr>
        <w:tc>
          <w:tcPr>
            <w:tcW w:w="4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3"/>
          </w:tcPr>
          <w:p>
            <w:pPr>
              <w:jc w:val="right"/>
              <w:ind w:right="212"/>
              <w:spacing w:after="0"/>
              <w:rPr>
                <w:sz w:val="20"/>
                <w:szCs w:val="20"/>
                <w:color w:val="auto"/>
              </w:rPr>
            </w:pPr>
            <w:r>
              <w:rPr>
                <w:rFonts w:ascii="Courier New" w:cs="Courier New" w:eastAsia="Courier New" w:hAnsi="Courier New"/>
                <w:sz w:val="18"/>
                <w:szCs w:val="18"/>
                <w:color w:val="auto"/>
              </w:rPr>
              <w:t>Three months ended</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 31,</w:t>
            </w:r>
          </w:p>
        </w:tc>
        <w:tc>
          <w:tcPr>
            <w:tcW w:w="160" w:type="dxa"/>
            <w:vAlign w:val="bottom"/>
          </w:tcPr>
          <w:p>
            <w:pPr>
              <w:spacing w:after="0"/>
              <w:rPr>
                <w:sz w:val="17"/>
                <w:szCs w:val="17"/>
                <w:color w:val="auto"/>
              </w:rPr>
            </w:pPr>
          </w:p>
        </w:tc>
        <w:tc>
          <w:tcPr>
            <w:tcW w:w="840" w:type="dxa"/>
            <w:vAlign w:val="bottom"/>
            <w:vMerge w:val="restart"/>
          </w:tcPr>
          <w:p>
            <w:pPr>
              <w:spacing w:after="0"/>
              <w:rPr>
                <w:sz w:val="20"/>
                <w:szCs w:val="20"/>
                <w:color w:val="auto"/>
              </w:rPr>
            </w:pPr>
            <w:r>
              <w:rPr>
                <w:rFonts w:ascii="Courier New" w:cs="Courier New" w:eastAsia="Courier New" w:hAnsi="Courier New"/>
                <w:sz w:val="18"/>
                <w:szCs w:val="18"/>
                <w:color w:val="auto"/>
              </w:rPr>
              <w:t>1996</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1997</w:t>
            </w:r>
          </w:p>
        </w:tc>
        <w:tc>
          <w:tcPr>
            <w:tcW w:w="1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608"/>
        </w:trPr>
        <w:tc>
          <w:tcPr>
            <w:tcW w:w="4740" w:type="dxa"/>
            <w:vAlign w:val="bottom"/>
          </w:tcPr>
          <w:p>
            <w:pPr>
              <w:spacing w:after="0"/>
              <w:rPr>
                <w:sz w:val="20"/>
                <w:szCs w:val="20"/>
                <w:color w:val="auto"/>
              </w:rPr>
            </w:pPr>
            <w:r>
              <w:rPr>
                <w:rFonts w:ascii="Courier New" w:cs="Courier New" w:eastAsia="Courier New" w:hAnsi="Courier New"/>
                <w:sz w:val="18"/>
                <w:szCs w:val="18"/>
                <w:color w:val="auto"/>
              </w:rPr>
              <w:t>Cash used in operations: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(3,711)</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(1,375)</w:t>
            </w:r>
          </w:p>
        </w:tc>
        <w:tc>
          <w:tcPr>
            <w:tcW w:w="0" w:type="dxa"/>
            <w:vAlign w:val="bottom"/>
          </w:tcPr>
          <w:p>
            <w:pPr>
              <w:spacing w:after="0"/>
              <w:rPr>
                <w:sz w:val="1"/>
                <w:szCs w:val="1"/>
                <w:color w:val="auto"/>
              </w:rPr>
            </w:pPr>
          </w:p>
        </w:tc>
      </w:tr>
      <w:tr>
        <w:trPr>
          <w:trHeight w:val="311"/>
        </w:trPr>
        <w:tc>
          <w:tcPr>
            <w:tcW w:w="4740" w:type="dxa"/>
            <w:vAlign w:val="bottom"/>
          </w:tcPr>
          <w:p>
            <w:pPr>
              <w:spacing w:after="0"/>
              <w:rPr>
                <w:sz w:val="20"/>
                <w:szCs w:val="20"/>
                <w:color w:val="auto"/>
              </w:rPr>
            </w:pPr>
            <w:r>
              <w:rPr>
                <w:rFonts w:ascii="Courier New" w:cs="Courier New" w:eastAsia="Courier New" w:hAnsi="Courier New"/>
                <w:sz w:val="18"/>
                <w:szCs w:val="18"/>
                <w:color w:val="auto"/>
              </w:rPr>
              <w:t>Investing activities:</w:t>
            </w:r>
          </w:p>
        </w:tc>
        <w:tc>
          <w:tcPr>
            <w:tcW w:w="220" w:type="dxa"/>
            <w:vAlign w:val="bottom"/>
          </w:tcPr>
          <w:p>
            <w:pPr>
              <w:spacing w:after="0"/>
              <w:rPr>
                <w:sz w:val="24"/>
                <w:szCs w:val="24"/>
                <w:color w:val="auto"/>
              </w:rPr>
            </w:pPr>
          </w:p>
        </w:tc>
        <w:tc>
          <w:tcPr>
            <w:tcW w:w="1520" w:type="dxa"/>
            <w:vAlign w:val="bottom"/>
            <w:vMerge w:val="restart"/>
          </w:tcPr>
          <w:p>
            <w:pPr>
              <w:jc w:val="right"/>
              <w:ind w:right="592"/>
              <w:spacing w:after="0"/>
              <w:rPr>
                <w:sz w:val="20"/>
                <w:szCs w:val="20"/>
                <w:color w:val="auto"/>
              </w:rPr>
            </w:pPr>
            <w:r>
              <w:rPr>
                <w:rFonts w:ascii="Courier New" w:cs="Courier New" w:eastAsia="Courier New" w:hAnsi="Courier New"/>
                <w:sz w:val="18"/>
                <w:szCs w:val="18"/>
                <w:color w:val="auto"/>
              </w:rPr>
              <w:t>(4,604)</w:t>
            </w:r>
          </w:p>
        </w:tc>
        <w:tc>
          <w:tcPr>
            <w:tcW w:w="16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(21,994)</w:t>
            </w:r>
          </w:p>
        </w:tc>
        <w:tc>
          <w:tcPr>
            <w:tcW w:w="0" w:type="dxa"/>
            <w:vAlign w:val="bottom"/>
          </w:tcPr>
          <w:p>
            <w:pPr>
              <w:spacing w:after="0"/>
              <w:rPr>
                <w:sz w:val="1"/>
                <w:szCs w:val="1"/>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22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Property and equipment</w:t>
            </w:r>
          </w:p>
        </w:tc>
        <w:tc>
          <w:tcPr>
            <w:tcW w:w="22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(2,678)</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(441)</w:t>
            </w:r>
          </w:p>
        </w:tc>
        <w:tc>
          <w:tcPr>
            <w:tcW w:w="0" w:type="dxa"/>
            <w:vAlign w:val="bottom"/>
          </w:tcPr>
          <w:p>
            <w:pPr>
              <w:spacing w:after="0"/>
              <w:rPr>
                <w:sz w:val="1"/>
                <w:szCs w:val="1"/>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assets</w:t>
            </w:r>
          </w:p>
        </w:tc>
        <w:tc>
          <w:tcPr>
            <w:tcW w:w="22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(268)</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(242)</w:t>
            </w:r>
          </w:p>
        </w:tc>
        <w:tc>
          <w:tcPr>
            <w:tcW w:w="0" w:type="dxa"/>
            <w:vAlign w:val="bottom"/>
          </w:tcPr>
          <w:p>
            <w:pPr>
              <w:spacing w:after="0"/>
              <w:rPr>
                <w:sz w:val="1"/>
                <w:szCs w:val="1"/>
                <w:color w:val="auto"/>
              </w:rPr>
            </w:pPr>
          </w:p>
        </w:tc>
      </w:tr>
      <w:tr>
        <w:trPr>
          <w:trHeight w:val="296"/>
        </w:trPr>
        <w:tc>
          <w:tcPr>
            <w:tcW w:w="474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Net cash used in</w:t>
            </w:r>
          </w:p>
        </w:tc>
        <w:tc>
          <w:tcPr>
            <w:tcW w:w="220" w:type="dxa"/>
            <w:vAlign w:val="bottom"/>
          </w:tcPr>
          <w:p>
            <w:pPr>
              <w:spacing w:after="0"/>
              <w:rPr>
                <w:sz w:val="24"/>
                <w:szCs w:val="24"/>
                <w:color w:val="auto"/>
              </w:rPr>
            </w:pPr>
          </w:p>
        </w:tc>
        <w:tc>
          <w:tcPr>
            <w:tcW w:w="152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109"/>
        </w:trPr>
        <w:tc>
          <w:tcPr>
            <w:tcW w:w="47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vMerge w:val="restart"/>
          </w:tcPr>
          <w:p>
            <w:pPr>
              <w:jc w:val="right"/>
              <w:ind w:right="592"/>
              <w:spacing w:after="0"/>
              <w:rPr>
                <w:sz w:val="20"/>
                <w:szCs w:val="20"/>
                <w:color w:val="auto"/>
              </w:rPr>
            </w:pPr>
            <w:r>
              <w:rPr>
                <w:rFonts w:ascii="Courier New" w:cs="Courier New" w:eastAsia="Courier New" w:hAnsi="Courier New"/>
                <w:sz w:val="18"/>
                <w:szCs w:val="18"/>
                <w:color w:val="auto"/>
              </w:rPr>
              <w:t>(7,550)</w:t>
            </w:r>
          </w:p>
        </w:tc>
        <w:tc>
          <w:tcPr>
            <w:tcW w:w="16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(22,677)</w:t>
            </w:r>
          </w:p>
        </w:tc>
        <w:tc>
          <w:tcPr>
            <w:tcW w:w="0" w:type="dxa"/>
            <w:vAlign w:val="bottom"/>
          </w:tcPr>
          <w:p>
            <w:pPr>
              <w:spacing w:after="0"/>
              <w:rPr>
                <w:sz w:val="1"/>
                <w:szCs w:val="1"/>
                <w:color w:val="auto"/>
              </w:rPr>
            </w:pPr>
          </w:p>
        </w:tc>
      </w:tr>
      <w:tr>
        <w:trPr>
          <w:trHeight w:val="203"/>
        </w:trPr>
        <w:tc>
          <w:tcPr>
            <w:tcW w:w="474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investing activities</w:t>
            </w:r>
          </w:p>
        </w:tc>
        <w:tc>
          <w:tcPr>
            <w:tcW w:w="22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311"/>
        </w:trPr>
        <w:tc>
          <w:tcPr>
            <w:tcW w:w="474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220" w:type="dxa"/>
            <w:vAlign w:val="bottom"/>
          </w:tcPr>
          <w:p>
            <w:pPr>
              <w:spacing w:after="0"/>
              <w:rPr>
                <w:sz w:val="24"/>
                <w:szCs w:val="24"/>
                <w:color w:val="auto"/>
              </w:rPr>
            </w:pPr>
          </w:p>
        </w:tc>
        <w:tc>
          <w:tcPr>
            <w:tcW w:w="1520" w:type="dxa"/>
            <w:vAlign w:val="bottom"/>
            <w:vMerge w:val="restart"/>
          </w:tcPr>
          <w:p>
            <w:pPr>
              <w:jc w:val="right"/>
              <w:ind w:right="692"/>
              <w:spacing w:after="0"/>
              <w:rPr>
                <w:sz w:val="20"/>
                <w:szCs w:val="20"/>
                <w:color w:val="auto"/>
              </w:rPr>
            </w:pPr>
            <w:r>
              <w:rPr>
                <w:rFonts w:ascii="Courier New" w:cs="Courier New" w:eastAsia="Courier New" w:hAnsi="Courier New"/>
                <w:sz w:val="18"/>
                <w:szCs w:val="18"/>
                <w:color w:val="auto"/>
              </w:rPr>
              <w:t>1,136</w:t>
            </w:r>
          </w:p>
        </w:tc>
        <w:tc>
          <w:tcPr>
            <w:tcW w:w="160" w:type="dxa"/>
            <w:vAlign w:val="bottom"/>
          </w:tcPr>
          <w:p>
            <w:pPr>
              <w:spacing w:after="0"/>
              <w:rPr>
                <w:sz w:val="24"/>
                <w:szCs w:val="24"/>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746</w:t>
            </w:r>
          </w:p>
        </w:tc>
        <w:tc>
          <w:tcPr>
            <w:tcW w:w="0" w:type="dxa"/>
            <w:vAlign w:val="bottom"/>
          </w:tcPr>
          <w:p>
            <w:pPr>
              <w:spacing w:after="0"/>
              <w:rPr>
                <w:sz w:val="1"/>
                <w:szCs w:val="1"/>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Net proceeds from issuance of common stock</w:t>
            </w:r>
          </w:p>
        </w:tc>
        <w:tc>
          <w:tcPr>
            <w:tcW w:w="22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Principal payments on debt and</w:t>
            </w:r>
          </w:p>
        </w:tc>
        <w:tc>
          <w:tcPr>
            <w:tcW w:w="220" w:type="dxa"/>
            <w:vAlign w:val="bottom"/>
          </w:tcPr>
          <w:p>
            <w:pPr>
              <w:spacing w:after="0"/>
              <w:rPr>
                <w:sz w:val="17"/>
                <w:szCs w:val="17"/>
                <w:color w:val="auto"/>
              </w:rPr>
            </w:pPr>
          </w:p>
        </w:tc>
        <w:tc>
          <w:tcPr>
            <w:tcW w:w="1520" w:type="dxa"/>
            <w:vAlign w:val="bottom"/>
            <w:vMerge w:val="restart"/>
          </w:tcPr>
          <w:p>
            <w:pPr>
              <w:jc w:val="right"/>
              <w:ind w:right="592"/>
              <w:spacing w:after="0"/>
              <w:rPr>
                <w:sz w:val="20"/>
                <w:szCs w:val="20"/>
                <w:color w:val="auto"/>
              </w:rPr>
            </w:pPr>
            <w:r>
              <w:rPr>
                <w:rFonts w:ascii="Courier New" w:cs="Courier New" w:eastAsia="Courier New" w:hAnsi="Courier New"/>
                <w:sz w:val="18"/>
                <w:szCs w:val="18"/>
                <w:color w:val="auto"/>
              </w:rPr>
              <w:t>(708)</w:t>
            </w:r>
          </w:p>
        </w:tc>
        <w:tc>
          <w:tcPr>
            <w:tcW w:w="16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(573)</w:t>
            </w:r>
          </w:p>
        </w:tc>
        <w:tc>
          <w:tcPr>
            <w:tcW w:w="0" w:type="dxa"/>
            <w:vAlign w:val="bottom"/>
          </w:tcPr>
          <w:p>
            <w:pPr>
              <w:spacing w:after="0"/>
              <w:rPr>
                <w:sz w:val="1"/>
                <w:szCs w:val="1"/>
                <w:color w:val="auto"/>
              </w:rPr>
            </w:pPr>
          </w:p>
        </w:tc>
      </w:tr>
      <w:tr>
        <w:trPr>
          <w:trHeight w:val="203"/>
        </w:trPr>
        <w:tc>
          <w:tcPr>
            <w:tcW w:w="474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capital lease obligations</w:t>
            </w:r>
          </w:p>
        </w:tc>
        <w:tc>
          <w:tcPr>
            <w:tcW w:w="22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740" w:type="dxa"/>
            <w:vAlign w:val="bottom"/>
            <w:vMerge w:val="restart"/>
          </w:tcPr>
          <w:p>
            <w:pPr>
              <w:ind w:left="740"/>
              <w:spacing w:after="0"/>
              <w:rPr>
                <w:sz w:val="20"/>
                <w:szCs w:val="20"/>
                <w:color w:val="auto"/>
              </w:rPr>
            </w:pPr>
            <w:r>
              <w:rPr>
                <w:rFonts w:ascii="Courier New" w:cs="Courier New" w:eastAsia="Courier New" w:hAnsi="Courier New"/>
                <w:sz w:val="18"/>
                <w:szCs w:val="18"/>
                <w:color w:val="auto"/>
              </w:rPr>
              <w:t>Net cash provided from financing</w:t>
            </w:r>
          </w:p>
        </w:tc>
        <w:tc>
          <w:tcPr>
            <w:tcW w:w="220" w:type="dxa"/>
            <w:vAlign w:val="bottom"/>
          </w:tcPr>
          <w:p>
            <w:pPr>
              <w:spacing w:after="0"/>
              <w:rPr>
                <w:sz w:val="24"/>
                <w:szCs w:val="24"/>
                <w:color w:val="auto"/>
              </w:rPr>
            </w:pPr>
          </w:p>
        </w:tc>
        <w:tc>
          <w:tcPr>
            <w:tcW w:w="152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109"/>
        </w:trPr>
        <w:tc>
          <w:tcPr>
            <w:tcW w:w="47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vMerge w:val="restart"/>
          </w:tcPr>
          <w:p>
            <w:pPr>
              <w:jc w:val="right"/>
              <w:ind w:right="692"/>
              <w:spacing w:after="0"/>
              <w:rPr>
                <w:sz w:val="20"/>
                <w:szCs w:val="20"/>
                <w:color w:val="auto"/>
              </w:rPr>
            </w:pPr>
            <w:r>
              <w:rPr>
                <w:rFonts w:ascii="Courier New" w:cs="Courier New" w:eastAsia="Courier New" w:hAnsi="Courier New"/>
                <w:sz w:val="18"/>
                <w:szCs w:val="18"/>
                <w:color w:val="auto"/>
              </w:rPr>
              <w:t>428</w:t>
            </w:r>
          </w:p>
        </w:tc>
        <w:tc>
          <w:tcPr>
            <w:tcW w:w="160" w:type="dxa"/>
            <w:vAlign w:val="bottom"/>
          </w:tcPr>
          <w:p>
            <w:pPr>
              <w:spacing w:after="0"/>
              <w:rPr>
                <w:sz w:val="9"/>
                <w:szCs w:val="9"/>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173</w:t>
            </w:r>
          </w:p>
        </w:tc>
        <w:tc>
          <w:tcPr>
            <w:tcW w:w="0" w:type="dxa"/>
            <w:vAlign w:val="bottom"/>
          </w:tcPr>
          <w:p>
            <w:pPr>
              <w:spacing w:after="0"/>
              <w:rPr>
                <w:sz w:val="1"/>
                <w:szCs w:val="1"/>
                <w:color w:val="auto"/>
              </w:rPr>
            </w:pPr>
          </w:p>
        </w:tc>
      </w:tr>
      <w:tr>
        <w:trPr>
          <w:trHeight w:val="203"/>
        </w:trPr>
        <w:tc>
          <w:tcPr>
            <w:tcW w:w="47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activities</w:t>
            </w:r>
          </w:p>
        </w:tc>
        <w:tc>
          <w:tcPr>
            <w:tcW w:w="22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vMerge w:val="restart"/>
          </w:tcPr>
          <w:p>
            <w:pPr>
              <w:spacing w:after="0"/>
              <w:rPr>
                <w:sz w:val="20"/>
                <w:szCs w:val="20"/>
                <w:color w:val="auto"/>
              </w:rPr>
            </w:pPr>
            <w:r>
              <w:rPr>
                <w:rFonts w:ascii="Courier New" w:cs="Courier New" w:eastAsia="Courier New" w:hAnsi="Courier New"/>
                <w:sz w:val="18"/>
                <w:szCs w:val="18"/>
                <w:color w:val="auto"/>
              </w:rPr>
              <w:t>Net decrease in cash and cash equivalents</w:t>
            </w:r>
          </w:p>
        </w:tc>
        <w:tc>
          <w:tcPr>
            <w:tcW w:w="22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296"/>
        </w:trPr>
        <w:tc>
          <w:tcPr>
            <w:tcW w:w="4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4"/>
              </w:rPr>
              <w:t>(10,833)</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(23,879)</w:t>
            </w:r>
          </w:p>
        </w:tc>
        <w:tc>
          <w:tcPr>
            <w:tcW w:w="0" w:type="dxa"/>
            <w:vAlign w:val="bottom"/>
          </w:tcPr>
          <w:p>
            <w:pPr>
              <w:spacing w:after="0"/>
              <w:rPr>
                <w:sz w:val="1"/>
                <w:szCs w:val="1"/>
                <w:color w:val="auto"/>
              </w:rPr>
            </w:pPr>
          </w:p>
        </w:tc>
      </w:tr>
      <w:tr>
        <w:trPr>
          <w:trHeight w:val="311"/>
        </w:trPr>
        <w:tc>
          <w:tcPr>
            <w:tcW w:w="4740" w:type="dxa"/>
            <w:vAlign w:val="bottom"/>
          </w:tcPr>
          <w:p>
            <w:pPr>
              <w:spacing w:after="0"/>
              <w:rPr>
                <w:sz w:val="20"/>
                <w:szCs w:val="20"/>
                <w:color w:val="auto"/>
              </w:rPr>
            </w:pPr>
            <w:r>
              <w:rPr>
                <w:rFonts w:ascii="Courier New" w:cs="Courier New" w:eastAsia="Courier New" w:hAnsi="Courier New"/>
                <w:sz w:val="18"/>
                <w:szCs w:val="18"/>
                <w:color w:val="auto"/>
              </w:rPr>
              <w:t>Cash and cash equivalents at beginning</w:t>
            </w:r>
          </w:p>
        </w:tc>
        <w:tc>
          <w:tcPr>
            <w:tcW w:w="220" w:type="dxa"/>
            <w:vAlign w:val="bottom"/>
          </w:tcPr>
          <w:p>
            <w:pPr>
              <w:spacing w:after="0"/>
              <w:rPr>
                <w:sz w:val="24"/>
                <w:szCs w:val="24"/>
                <w:color w:val="auto"/>
              </w:rPr>
            </w:pPr>
          </w:p>
        </w:tc>
        <w:tc>
          <w:tcPr>
            <w:tcW w:w="1520" w:type="dxa"/>
            <w:vAlign w:val="bottom"/>
            <w:vMerge w:val="restart"/>
          </w:tcPr>
          <w:p>
            <w:pPr>
              <w:jc w:val="right"/>
              <w:ind w:right="692"/>
              <w:spacing w:after="0"/>
              <w:rPr>
                <w:sz w:val="20"/>
                <w:szCs w:val="20"/>
                <w:color w:val="auto"/>
              </w:rPr>
            </w:pPr>
            <w:r>
              <w:rPr>
                <w:rFonts w:ascii="Courier New" w:cs="Courier New" w:eastAsia="Courier New" w:hAnsi="Courier New"/>
                <w:sz w:val="18"/>
                <w:szCs w:val="18"/>
                <w:color w:val="auto"/>
              </w:rPr>
              <w:t>37,082</w:t>
            </w:r>
          </w:p>
        </w:tc>
        <w:tc>
          <w:tcPr>
            <w:tcW w:w="160" w:type="dxa"/>
            <w:vAlign w:val="bottom"/>
          </w:tcPr>
          <w:p>
            <w:pPr>
              <w:spacing w:after="0"/>
              <w:rPr>
                <w:sz w:val="24"/>
                <w:szCs w:val="24"/>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46,463</w:t>
            </w: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the period</w:t>
            </w:r>
          </w:p>
        </w:tc>
        <w:tc>
          <w:tcPr>
            <w:tcW w:w="22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vMerge w:val="restart"/>
          </w:tcPr>
          <w:p>
            <w:pPr>
              <w:spacing w:after="0"/>
              <w:rPr>
                <w:sz w:val="20"/>
                <w:szCs w:val="20"/>
                <w:color w:val="auto"/>
              </w:rPr>
            </w:pPr>
            <w:r>
              <w:rPr>
                <w:rFonts w:ascii="Courier New" w:cs="Courier New" w:eastAsia="Courier New" w:hAnsi="Courier New"/>
                <w:sz w:val="18"/>
                <w:szCs w:val="18"/>
                <w:color w:val="auto"/>
              </w:rPr>
              <w:t>Cash and cash equivalents at end of period</w:t>
            </w:r>
          </w:p>
        </w:tc>
        <w:tc>
          <w:tcPr>
            <w:tcW w:w="2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2"/>
              </w:rPr>
              <w:t>$</w:t>
            </w: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7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26,249</w:t>
            </w:r>
          </w:p>
        </w:tc>
        <w:tc>
          <w:tcPr>
            <w:tcW w:w="160" w:type="dxa"/>
            <w:vAlign w:val="bottom"/>
            <w:vMerge w:val="continue"/>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22,584</w:t>
            </w:r>
          </w:p>
        </w:tc>
        <w:tc>
          <w:tcPr>
            <w:tcW w:w="0" w:type="dxa"/>
            <w:vAlign w:val="bottom"/>
          </w:tcPr>
          <w:p>
            <w:pPr>
              <w:spacing w:after="0"/>
              <w:rPr>
                <w:sz w:val="1"/>
                <w:szCs w:val="1"/>
                <w:color w:val="auto"/>
              </w:rPr>
            </w:pPr>
          </w:p>
        </w:tc>
      </w:tr>
      <w:tr>
        <w:trPr>
          <w:trHeight w:val="296"/>
        </w:trPr>
        <w:tc>
          <w:tcPr>
            <w:tcW w:w="4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480" w:type="dxa"/>
            <w:vAlign w:val="bottom"/>
            <w:gridSpan w:val="3"/>
          </w:tcPr>
          <w:p>
            <w:pPr>
              <w:spacing w:after="0"/>
              <w:rPr>
                <w:sz w:val="20"/>
                <w:szCs w:val="20"/>
                <w:color w:val="auto"/>
              </w:rPr>
            </w:pPr>
            <w:r>
              <w:rPr>
                <w:rFonts w:ascii="Courier New" w:cs="Courier New" w:eastAsia="Courier New" w:hAnsi="Courier New"/>
                <w:sz w:val="18"/>
                <w:szCs w:val="18"/>
                <w:color w:val="auto"/>
              </w:rPr>
              <w:t>SUPPLEMENTAL DISCLOSURE OF CASH FLOW INFORMATION:</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249</w:t>
            </w:r>
          </w:p>
        </w:tc>
        <w:tc>
          <w:tcPr>
            <w:tcW w:w="0" w:type="dxa"/>
            <w:vAlign w:val="bottom"/>
          </w:tcPr>
          <w:p>
            <w:pPr>
              <w:spacing w:after="0"/>
              <w:rPr>
                <w:sz w:val="1"/>
                <w:szCs w:val="1"/>
                <w:color w:val="auto"/>
              </w:rPr>
            </w:pPr>
          </w:p>
        </w:tc>
      </w:tr>
      <w:tr>
        <w:trPr>
          <w:trHeight w:val="296"/>
        </w:trPr>
        <w:tc>
          <w:tcPr>
            <w:tcW w:w="4740" w:type="dxa"/>
            <w:vAlign w:val="bottom"/>
          </w:tcPr>
          <w:p>
            <w:pPr>
              <w:ind w:left="320"/>
              <w:spacing w:after="0"/>
              <w:rPr>
                <w:sz w:val="20"/>
                <w:szCs w:val="20"/>
                <w:color w:val="auto"/>
              </w:rPr>
            </w:pPr>
            <w:r>
              <w:rPr>
                <w:rFonts w:ascii="Courier New" w:cs="Courier New" w:eastAsia="Courier New" w:hAnsi="Courier New"/>
                <w:sz w:val="18"/>
                <w:szCs w:val="18"/>
                <w:color w:val="auto"/>
              </w:rPr>
              <w:t>Interest paid</w:t>
            </w:r>
          </w:p>
        </w:tc>
        <w:tc>
          <w:tcPr>
            <w:tcW w:w="2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w:t>
            </w:r>
          </w:p>
        </w:tc>
        <w:tc>
          <w:tcPr>
            <w:tcW w:w="152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240</w:t>
            </w:r>
          </w:p>
        </w:tc>
        <w:tc>
          <w:tcPr>
            <w:tcW w:w="16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740" w:type="dxa"/>
            <w:vAlign w:val="bottom"/>
          </w:tcPr>
          <w:p>
            <w:pPr>
              <w:spacing w:after="0"/>
              <w:rPr>
                <w:sz w:val="20"/>
                <w:szCs w:val="20"/>
                <w:color w:val="auto"/>
              </w:rPr>
            </w:pPr>
            <w:r>
              <w:rPr>
                <w:rFonts w:ascii="Courier New" w:cs="Courier New" w:eastAsia="Courier New" w:hAnsi="Courier New"/>
                <w:sz w:val="18"/>
                <w:szCs w:val="18"/>
                <w:color w:val="auto"/>
                <w:w w:val="97"/>
              </w:rPr>
              <w:t>SUPPLEMENTAL DISCLOSURE OF NON-CASH INVESTING</w:t>
            </w: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FINANCING ACTIVITIES:</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Additions to capital lease obligations</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for acquisitions of property, plant</w:t>
            </w:r>
          </w:p>
        </w:tc>
        <w:tc>
          <w:tcPr>
            <w:tcW w:w="2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2"/>
              </w:rPr>
              <w:t>$</w:t>
            </w:r>
          </w:p>
        </w:tc>
        <w:tc>
          <w:tcPr>
            <w:tcW w:w="1520" w:type="dxa"/>
            <w:vAlign w:val="bottom"/>
            <w:vMerge w:val="restart"/>
          </w:tcPr>
          <w:p>
            <w:pPr>
              <w:jc w:val="right"/>
              <w:ind w:right="692"/>
              <w:spacing w:after="0"/>
              <w:rPr>
                <w:sz w:val="20"/>
                <w:szCs w:val="20"/>
                <w:color w:val="auto"/>
              </w:rPr>
            </w:pPr>
            <w:r>
              <w:rPr>
                <w:rFonts w:ascii="Courier New" w:cs="Courier New" w:eastAsia="Courier New" w:hAnsi="Courier New"/>
                <w:sz w:val="18"/>
                <w:szCs w:val="18"/>
                <w:color w:val="auto"/>
              </w:rPr>
              <w:t>386</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1,238</w:t>
            </w:r>
          </w:p>
        </w:tc>
        <w:tc>
          <w:tcPr>
            <w:tcW w:w="0" w:type="dxa"/>
            <w:vAlign w:val="bottom"/>
          </w:tcPr>
          <w:p>
            <w:pPr>
              <w:spacing w:after="0"/>
              <w:rPr>
                <w:sz w:val="1"/>
                <w:szCs w:val="1"/>
                <w:color w:val="auto"/>
              </w:rPr>
            </w:pPr>
          </w:p>
        </w:tc>
      </w:tr>
      <w:tr>
        <w:trPr>
          <w:trHeight w:val="296"/>
        </w:trPr>
        <w:tc>
          <w:tcPr>
            <w:tcW w:w="4740" w:type="dxa"/>
            <w:vAlign w:val="bottom"/>
          </w:tcPr>
          <w:p>
            <w:pPr>
              <w:ind w:left="420"/>
              <w:spacing w:after="0"/>
              <w:rPr>
                <w:sz w:val="20"/>
                <w:szCs w:val="20"/>
                <w:color w:val="auto"/>
              </w:rPr>
            </w:pPr>
            <w:r>
              <w:rPr>
                <w:rFonts w:ascii="Courier New" w:cs="Courier New" w:eastAsia="Courier New" w:hAnsi="Courier New"/>
                <w:sz w:val="18"/>
                <w:szCs w:val="18"/>
                <w:color w:val="auto"/>
              </w:rPr>
              <w:t>and equipment</w:t>
            </w:r>
          </w:p>
        </w:tc>
        <w:tc>
          <w:tcPr>
            <w:tcW w:w="220" w:type="dxa"/>
            <w:vAlign w:val="bottom"/>
            <w:vMerge w:val="continue"/>
          </w:tcPr>
          <w:p>
            <w:pPr>
              <w:spacing w:after="0"/>
              <w:rPr>
                <w:sz w:val="24"/>
                <w:szCs w:val="24"/>
                <w:color w:val="auto"/>
              </w:rPr>
            </w:pPr>
          </w:p>
        </w:tc>
        <w:tc>
          <w:tcPr>
            <w:tcW w:w="1520" w:type="dxa"/>
            <w:vAlign w:val="bottom"/>
            <w:vMerge w:val="continue"/>
          </w:tcPr>
          <w:p>
            <w:pPr>
              <w:spacing w:after="0"/>
              <w:rPr>
                <w:sz w:val="24"/>
                <w:szCs w:val="24"/>
                <w:color w:val="auto"/>
              </w:rPr>
            </w:pPr>
          </w:p>
        </w:tc>
        <w:tc>
          <w:tcPr>
            <w:tcW w:w="16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285" w:right="1440" w:bottom="1440" w:gutter="0" w:footer="0" w:header="0"/>
        </w:sectPr>
      </w:pPr>
    </w:p>
    <w:bookmarkStart w:id="5" w:name="page6"/>
    <w:bookmarkEnd w:id="5"/>
    <w:p>
      <w:pPr>
        <w:ind w:left="2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ISIS PHARMACEUTICALS, INC.</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NOTES TO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Basis of presentation</w:t>
      </w:r>
    </w:p>
    <w:p>
      <w:pPr>
        <w:spacing w:after="0" w:line="201" w:lineRule="exact"/>
        <w:rPr>
          <w:sz w:val="20"/>
          <w:szCs w:val="20"/>
          <w:color w:val="auto"/>
        </w:rPr>
      </w:pPr>
    </w:p>
    <w:p>
      <w:pPr>
        <w:ind w:right="2099" w:firstLine="527"/>
        <w:spacing w:after="0" w:line="282" w:lineRule="auto"/>
        <w:rPr>
          <w:sz w:val="20"/>
          <w:szCs w:val="20"/>
          <w:color w:val="auto"/>
        </w:rPr>
      </w:pPr>
      <w:r>
        <w:rPr>
          <w:rFonts w:ascii="Courier New" w:cs="Courier New" w:eastAsia="Courier New" w:hAnsi="Courier New"/>
          <w:sz w:val="16"/>
          <w:szCs w:val="16"/>
          <w:color w:val="auto"/>
        </w:rPr>
        <w:t>The unaudited interim financial statements for the three months ended March 31, 1997 and 1996 have been prepared on the same basis as the Company's audited financial statements for the year ended December 31, 1996.</w:t>
      </w:r>
    </w:p>
    <w:p>
      <w:pPr>
        <w:spacing w:after="0" w:line="1" w:lineRule="exact"/>
        <w:rPr>
          <w:sz w:val="20"/>
          <w:szCs w:val="20"/>
          <w:color w:val="auto"/>
        </w:rPr>
      </w:pPr>
    </w:p>
    <w:p>
      <w:pPr>
        <w:ind w:right="1999"/>
        <w:spacing w:after="0" w:line="247" w:lineRule="auto"/>
        <w:rPr>
          <w:sz w:val="20"/>
          <w:szCs w:val="20"/>
          <w:color w:val="auto"/>
        </w:rPr>
      </w:pPr>
      <w:r>
        <w:rPr>
          <w:rFonts w:ascii="Courier New" w:cs="Courier New" w:eastAsia="Courier New" w:hAnsi="Courier New"/>
          <w:sz w:val="18"/>
          <w:szCs w:val="18"/>
          <w:color w:val="auto"/>
        </w:rPr>
        <w:t>The financial statements include all adjustments (consisting only of normal recurring adjustments) which the Company considers necessary for a fair presentation of the financial position at such dates and the operating results and cash flows for those periods. Results for the interim periods are not necessarily indicative of the results of the entire year. For more complete financial information, these financial statements, and notes thereto, should be read in conjunction with the audited financial statements for the year ended December 31, 1996 icluded in the Company's Annual Report on Form 10-K filed with the Securities and Exchange Commission.</w:t>
      </w:r>
    </w:p>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Accounting standard on earnings per share</w:t>
      </w:r>
    </w:p>
    <w:p>
      <w:pPr>
        <w:spacing w:after="0" w:line="201" w:lineRule="exact"/>
        <w:rPr>
          <w:sz w:val="20"/>
          <w:szCs w:val="20"/>
          <w:color w:val="auto"/>
        </w:rPr>
      </w:pPr>
    </w:p>
    <w:p>
      <w:pPr>
        <w:ind w:right="2199" w:firstLine="421"/>
        <w:spacing w:after="0" w:line="253" w:lineRule="auto"/>
        <w:rPr>
          <w:sz w:val="20"/>
          <w:szCs w:val="20"/>
          <w:color w:val="auto"/>
        </w:rPr>
      </w:pPr>
      <w:r>
        <w:rPr>
          <w:rFonts w:ascii="Courier New" w:cs="Courier New" w:eastAsia="Courier New" w:hAnsi="Courier New"/>
          <w:sz w:val="18"/>
          <w:szCs w:val="18"/>
          <w:color w:val="auto"/>
        </w:rPr>
        <w:t>In February 1997, the Financial Accounting Standards Board issued Statement No. 128, "Earnings per Share", which is required to be adopted on December 31, 1997. At that time, the Company will be required to change the method currently used to compute earnings per share and to restate all prior periods. Under the new requirements for calculating primary earnings per share, the dilutive effect of stock options will be excluded. The impact of Statement 128 on the calculation of earnings per share is not expected to be material.</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Subsequent event</w:t>
      </w:r>
    </w:p>
    <w:p>
      <w:pPr>
        <w:spacing w:after="0" w:line="201" w:lineRule="exact"/>
        <w:rPr>
          <w:sz w:val="20"/>
          <w:szCs w:val="20"/>
          <w:color w:val="auto"/>
        </w:rPr>
      </w:pPr>
    </w:p>
    <w:p>
      <w:pPr>
        <w:ind w:right="1999" w:firstLine="421"/>
        <w:spacing w:after="0" w:line="278" w:lineRule="auto"/>
        <w:rPr>
          <w:sz w:val="20"/>
          <w:szCs w:val="20"/>
          <w:color w:val="auto"/>
        </w:rPr>
      </w:pPr>
      <w:r>
        <w:rPr>
          <w:rFonts w:ascii="Courier New" w:cs="Courier New" w:eastAsia="Courier New" w:hAnsi="Courier New"/>
          <w:sz w:val="16"/>
          <w:szCs w:val="16"/>
          <w:color w:val="auto"/>
        </w:rPr>
        <w:t>In April 1997, the Company entered into an agreement with a bank to borrow $9.7 million. The proceeds of this loan were used to refinance the Company's existing real estate loans, which had an aggregate balance of $6.6 million as of March 31, 1997, and provide funding for tenant improvements in a new</w:t>
      </w:r>
    </w:p>
    <w:p>
      <w:pPr>
        <w:spacing w:after="0" w:line="3"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8"/>
          <w:szCs w:val="18"/>
          <w:color w:val="auto"/>
        </w:rPr>
        <w:t>46,000 square foot building the Company began to occupy in the first quarter of 1997. The new loan bears interest at the prime rate plus 0.5 percent, will mature in March 2002 and requires payments of $62,433 per month plus interest. The loan is secured by the real estate financed under this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285" w:right="1440" w:bottom="1440" w:gutter="0" w:footer="0" w:header="0"/>
        </w:sectPr>
      </w:pPr>
    </w:p>
    <w:bookmarkStart w:id="6" w:name="page7"/>
    <w:bookmarkEnd w:id="6"/>
    <w:p>
      <w:pPr>
        <w:ind w:left="120"/>
        <w:spacing w:after="0"/>
        <w:rPr>
          <w:sz w:val="20"/>
          <w:szCs w:val="20"/>
          <w:color w:val="auto"/>
        </w:rPr>
      </w:pPr>
      <w:r>
        <w:rPr>
          <w:rFonts w:ascii="Courier New" w:cs="Courier New" w:eastAsia="Courier New" w:hAnsi="Courier New"/>
          <w:sz w:val="18"/>
          <w:szCs w:val="18"/>
          <w:color w:val="auto"/>
        </w:rPr>
        <w:t>7</w:t>
      </w:r>
    </w:p>
    <w:p>
      <w:pPr>
        <w:spacing w:after="0" w:line="31" w:lineRule="exact"/>
        <w:rPr>
          <w:sz w:val="20"/>
          <w:szCs w:val="20"/>
          <w:color w:val="auto"/>
        </w:rPr>
      </w:pPr>
    </w:p>
    <w:p>
      <w:pPr>
        <w:ind w:left="960" w:right="3039" w:hanging="947"/>
        <w:spacing w:after="0" w:line="309" w:lineRule="auto"/>
        <w:tabs>
          <w:tab w:leader="none" w:pos="940" w:val="left"/>
        </w:tabs>
        <w:rPr>
          <w:sz w:val="20"/>
          <w:szCs w:val="20"/>
          <w:color w:val="auto"/>
        </w:rPr>
      </w:pPr>
      <w:r>
        <w:rPr>
          <w:rFonts w:ascii="Courier New" w:cs="Courier New" w:eastAsia="Courier New" w:hAnsi="Courier New"/>
          <w:sz w:val="18"/>
          <w:szCs w:val="18"/>
          <w:color w:val="auto"/>
        </w:rPr>
        <w:t>ITEM 2.</w:t>
        <w:tab/>
        <w:t>MANAGEMENT'S DISCUSSION AND ANALYSIS OF FINANCIAL CONDITION AND RESULTS OF OPERATIONS</w:t>
      </w:r>
    </w:p>
    <w:p>
      <w:pPr>
        <w:spacing w:after="0" w:line="51"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6"/>
          <w:szCs w:val="16"/>
          <w:color w:val="auto"/>
        </w:rPr>
        <w:t>In addition to historical information contained in this Report, this Report contains forward-looking statements regarding the Company's business and products and their projected prospects and qualities as well as the Company's relationship with its corporate partners. Such statements are subject to certain risks and uncertainties, particularly those inherent in the process of discovering, developing and commercializing drugs that can be proven to be safe and effective for use as human therapeutics, and the endeavor of building a business around such potential products. Actual results could differ materially from those projected in this Form 10-Q. As a result, the reader is cautioned not to place undue reliance on these forward-looking statements. Factors that could cause or contribute to such differences include, but are not limited to, those discussed in Isis' Annual Report</w:t>
      </w:r>
    </w:p>
    <w:p>
      <w:pPr>
        <w:spacing w:after="0" w:line="187"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8"/>
          <w:szCs w:val="18"/>
          <w:color w:val="auto"/>
        </w:rPr>
        <w:t>on Form 10-K for the year ended December 31, 1996 which is on file with the U.S. Securities and Exchange Commission, a copy of which is available from the Company.</w:t>
      </w:r>
    </w:p>
    <w:p>
      <w:pPr>
        <w:spacing w:after="0" w:line="82" w:lineRule="exact"/>
        <w:rPr>
          <w:sz w:val="20"/>
          <w:szCs w:val="20"/>
          <w:color w:val="auto"/>
        </w:rPr>
      </w:pPr>
    </w:p>
    <w:p>
      <w:pPr>
        <w:ind w:right="1999" w:firstLine="527"/>
        <w:spacing w:after="0" w:line="252" w:lineRule="auto"/>
        <w:rPr>
          <w:sz w:val="20"/>
          <w:szCs w:val="20"/>
          <w:color w:val="auto"/>
        </w:rPr>
      </w:pPr>
      <w:r>
        <w:rPr>
          <w:rFonts w:ascii="Courier New" w:cs="Courier New" w:eastAsia="Courier New" w:hAnsi="Courier New"/>
          <w:sz w:val="18"/>
          <w:szCs w:val="18"/>
          <w:color w:val="auto"/>
        </w:rPr>
        <w:t>Since its inception in January 1989, the Company has devoted substantially all of its resources to its research, drug discovery and development programs. The Company has been unprofitable since its inception and expects to incur additional operating losses for the next several years. The Company has entered into collaborative research and development agreements with pharmaceutical companies that generate revenue to augment the level of research and development activity and to offset portions of its research and development costs. To date, the Company has not received any significant revenue from the sale of products.</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ind w:right="2099" w:firstLine="527"/>
        <w:spacing w:after="0" w:line="248" w:lineRule="auto"/>
        <w:rPr>
          <w:sz w:val="20"/>
          <w:szCs w:val="20"/>
          <w:color w:val="auto"/>
        </w:rPr>
      </w:pPr>
      <w:r>
        <w:rPr>
          <w:rFonts w:ascii="Courier New" w:cs="Courier New" w:eastAsia="Courier New" w:hAnsi="Courier New"/>
          <w:sz w:val="18"/>
          <w:szCs w:val="18"/>
          <w:color w:val="auto"/>
        </w:rPr>
        <w:t>The Company had contract revenue of $4.6 million for the first quarter ended March 31, 1997, compared with $5.4 million for the same period in 1996. The revenue decrease was primarily due to the fact that in the quarter ended March 31, 1996, concurrent with the execution of an expanded collaborative agreement with Novartis Limited, the Company recognized contract revenue totaling approximately $1.9 million for work performed in 1995 under the terms of the expanded agreement. This decrease was partially offset by an increase in revenue from a collaborative agreement with Boehringer Ingelheim GmbH. The Company also had an interest income totaling $0.9 million for the quarter compared with $1.1 million for the same period in 1996. This decrease in interest income was primarily due to lower investment balances in the quarter ended March 31, 1997.</w:t>
      </w:r>
    </w:p>
    <w:p>
      <w:pPr>
        <w:spacing w:after="0" w:line="105" w:lineRule="exact"/>
        <w:rPr>
          <w:sz w:val="20"/>
          <w:szCs w:val="20"/>
          <w:color w:val="auto"/>
        </w:rPr>
      </w:pPr>
    </w:p>
    <w:p>
      <w:pPr>
        <w:ind w:right="2099" w:firstLine="527"/>
        <w:spacing w:after="0" w:line="276" w:lineRule="auto"/>
        <w:rPr>
          <w:sz w:val="20"/>
          <w:szCs w:val="20"/>
          <w:color w:val="auto"/>
        </w:rPr>
      </w:pPr>
      <w:r>
        <w:rPr>
          <w:rFonts w:ascii="Courier New" w:cs="Courier New" w:eastAsia="Courier New" w:hAnsi="Courier New"/>
          <w:sz w:val="16"/>
          <w:szCs w:val="16"/>
          <w:color w:val="auto"/>
        </w:rPr>
        <w:t>Research and development expenses increased 20 percent to $11.8 million for the three months ended March 31, 1997 from $9.8 million for the same period in 1996. This increase was attributable to an increase in preclinical and clinical development activities including the progression of compounds into more advanced and more expensive stages of clinical development.</w:t>
      </w:r>
    </w:p>
    <w:p>
      <w:pPr>
        <w:spacing w:after="0" w:line="3" w:lineRule="exact"/>
        <w:rPr>
          <w:sz w:val="20"/>
          <w:szCs w:val="20"/>
          <w:color w:val="auto"/>
        </w:rPr>
      </w:pPr>
    </w:p>
    <w:p>
      <w:pPr>
        <w:ind w:right="2319"/>
        <w:spacing w:after="0" w:line="273" w:lineRule="auto"/>
        <w:rPr>
          <w:sz w:val="20"/>
          <w:szCs w:val="20"/>
          <w:color w:val="auto"/>
        </w:rPr>
      </w:pPr>
      <w:r>
        <w:rPr>
          <w:rFonts w:ascii="Courier New" w:cs="Courier New" w:eastAsia="Courier New" w:hAnsi="Courier New"/>
          <w:sz w:val="18"/>
          <w:szCs w:val="18"/>
          <w:color w:val="auto"/>
        </w:rPr>
        <w:t>The Company expects that its development expenses will continue to increase as its current preclinical and clinical activities advance and additional preclinial and clinical studies are undertaken.</w:t>
      </w:r>
    </w:p>
    <w:p>
      <w:pPr>
        <w:spacing w:after="0" w:line="2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285" w:right="1440" w:bottom="1440" w:gutter="0" w:footer="0" w:header="0"/>
        </w:sectPr>
      </w:pPr>
    </w:p>
    <w:bookmarkStart w:id="7" w:name="page8"/>
    <w:bookmarkEnd w:id="7"/>
    <w:p>
      <w:pPr>
        <w:ind w:left="1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ind w:right="2199" w:firstLine="527"/>
        <w:spacing w:after="0" w:line="274" w:lineRule="auto"/>
        <w:rPr>
          <w:sz w:val="20"/>
          <w:szCs w:val="20"/>
          <w:color w:val="auto"/>
        </w:rPr>
      </w:pPr>
      <w:r>
        <w:rPr>
          <w:rFonts w:ascii="Courier New" w:cs="Courier New" w:eastAsia="Courier New" w:hAnsi="Courier New"/>
          <w:sz w:val="18"/>
          <w:szCs w:val="18"/>
          <w:color w:val="auto"/>
        </w:rPr>
        <w:t>General and administrative expenses increased to $1.7 million for the quarter ended March 31, 1997, from $1.4 million for the same period in 1996. The Company expects that its general and administrative expenses will increase in the future in support of its expanding operations.</w:t>
      </w:r>
    </w:p>
    <w:p>
      <w:pPr>
        <w:spacing w:after="0" w:line="8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During the quarter ended March 31, 1997, the Company recorded a</w:t>
      </w:r>
    </w:p>
    <w:p>
      <w:pPr>
        <w:spacing w:after="0" w:line="31" w:lineRule="exact"/>
        <w:rPr>
          <w:sz w:val="20"/>
          <w:szCs w:val="20"/>
          <w:color w:val="auto"/>
        </w:rPr>
      </w:pPr>
    </w:p>
    <w:p>
      <w:pPr>
        <w:jc w:val="both"/>
        <w:ind w:right="2619"/>
        <w:spacing w:after="0" w:line="268" w:lineRule="auto"/>
        <w:rPr>
          <w:sz w:val="20"/>
          <w:szCs w:val="20"/>
          <w:color w:val="auto"/>
        </w:rPr>
      </w:pPr>
      <w:r>
        <w:rPr>
          <w:rFonts w:ascii="Courier New" w:cs="Courier New" w:eastAsia="Courier New" w:hAnsi="Courier New"/>
          <w:sz w:val="16"/>
          <w:szCs w:val="16"/>
          <w:color w:val="auto"/>
        </w:rPr>
        <w:t>net loss of $8.6 million, or $.33 per share, compared with $5.1 million, or $.20 per share, for the same period in 1996. The Company expects that its operating losses will increase for the remainder of the fiscal year</w:t>
      </w:r>
    </w:p>
    <w:p>
      <w:pPr>
        <w:spacing w:after="0" w:line="1" w:lineRule="exact"/>
        <w:rPr>
          <w:sz w:val="20"/>
          <w:szCs w:val="20"/>
          <w:color w:val="auto"/>
        </w:rPr>
      </w:pPr>
    </w:p>
    <w:p>
      <w:pPr>
        <w:ind w:right="2199"/>
        <w:spacing w:after="0" w:line="273" w:lineRule="auto"/>
        <w:rPr>
          <w:sz w:val="20"/>
          <w:szCs w:val="20"/>
          <w:color w:val="auto"/>
        </w:rPr>
      </w:pPr>
      <w:r>
        <w:rPr>
          <w:rFonts w:ascii="Courier New" w:cs="Courier New" w:eastAsia="Courier New" w:hAnsi="Courier New"/>
          <w:sz w:val="18"/>
          <w:szCs w:val="18"/>
          <w:color w:val="auto"/>
        </w:rPr>
        <w:t>and beyond as its activities grow, and may fluctuate from quarter to quarter as a result of differences in the timing and composition of revenue earned and expenses incurred.</w:t>
      </w:r>
    </w:p>
    <w:p>
      <w:pPr>
        <w:spacing w:after="0" w:line="82" w:lineRule="exact"/>
        <w:rPr>
          <w:sz w:val="20"/>
          <w:szCs w:val="20"/>
          <w:color w:val="auto"/>
        </w:rPr>
      </w:pPr>
    </w:p>
    <w:p>
      <w:pPr>
        <w:ind w:right="2939" w:firstLine="527"/>
        <w:spacing w:after="0" w:line="347" w:lineRule="auto"/>
        <w:rPr>
          <w:sz w:val="20"/>
          <w:szCs w:val="20"/>
          <w:color w:val="auto"/>
        </w:rPr>
      </w:pPr>
      <w:r>
        <w:rPr>
          <w:rFonts w:ascii="Courier New" w:cs="Courier New" w:eastAsia="Courier New" w:hAnsi="Courier New"/>
          <w:sz w:val="18"/>
          <w:szCs w:val="18"/>
          <w:color w:val="auto"/>
        </w:rPr>
        <w:t>The Company believes that inflation and changing prices have not had a material effect on its ongoing operations to date.</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ind w:right="2319" w:firstLine="527"/>
        <w:spacing w:after="0" w:line="256" w:lineRule="auto"/>
        <w:rPr>
          <w:sz w:val="20"/>
          <w:szCs w:val="20"/>
          <w:color w:val="auto"/>
        </w:rPr>
      </w:pPr>
      <w:r>
        <w:rPr>
          <w:rFonts w:ascii="Courier New" w:cs="Courier New" w:eastAsia="Courier New" w:hAnsi="Courier New"/>
          <w:sz w:val="18"/>
          <w:szCs w:val="18"/>
          <w:color w:val="auto"/>
        </w:rPr>
        <w:t>Since its inception, the Company has financed its operations primarily through the sale of equity securities, raising net proceeds aggregating approximately $180 million, as of March 31, 1997, from the private and public sale of such securities. The Company has also financed a portion of its operations through contract research revenue, portions of which are paid in advance of work being performed, offsetting the Company's cash usage for operations.</w:t>
      </w:r>
    </w:p>
    <w:p>
      <w:pPr>
        <w:spacing w:after="0" w:line="9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As of March 31, 1997, the Company had cash, cash equivalents and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short-term investments totaling $71.4 million and working capital of</w:t>
      </w:r>
    </w:p>
    <w:p>
      <w:pPr>
        <w:spacing w:after="0" w:line="238" w:lineRule="auto"/>
        <w:rPr>
          <w:sz w:val="20"/>
          <w:szCs w:val="20"/>
          <w:color w:val="auto"/>
        </w:rPr>
      </w:pPr>
      <w:r>
        <w:rPr>
          <w:rFonts w:ascii="Courier New" w:cs="Courier New" w:eastAsia="Courier New" w:hAnsi="Courier New"/>
          <w:sz w:val="18"/>
          <w:szCs w:val="18"/>
          <w:color w:val="auto"/>
        </w:rPr>
        <w:t>$46.2 million. In comparison, the Company had cash, cash equivalents and</w:t>
      </w:r>
    </w:p>
    <w:p>
      <w:pPr>
        <w:spacing w:after="0"/>
        <w:rPr>
          <w:sz w:val="20"/>
          <w:szCs w:val="20"/>
          <w:color w:val="auto"/>
        </w:rPr>
      </w:pPr>
      <w:r>
        <w:rPr>
          <w:rFonts w:ascii="Courier New" w:cs="Courier New" w:eastAsia="Courier New" w:hAnsi="Courier New"/>
          <w:sz w:val="18"/>
          <w:szCs w:val="18"/>
          <w:color w:val="auto"/>
        </w:rPr>
        <w:t>short-term investments of $77.6 million and working capital of $56.3 million</w:t>
      </w:r>
    </w:p>
    <w:p>
      <w:pPr>
        <w:spacing w:after="0" w:line="238" w:lineRule="auto"/>
        <w:rPr>
          <w:sz w:val="20"/>
          <w:szCs w:val="20"/>
          <w:color w:val="auto"/>
        </w:rPr>
      </w:pPr>
      <w:r>
        <w:rPr>
          <w:rFonts w:ascii="Courier New" w:cs="Courier New" w:eastAsia="Courier New" w:hAnsi="Courier New"/>
          <w:sz w:val="18"/>
          <w:szCs w:val="18"/>
          <w:color w:val="auto"/>
        </w:rPr>
        <w:t>as of December 31, 1996. The decreases in cash and working capital during</w:t>
      </w:r>
    </w:p>
    <w:p>
      <w:pPr>
        <w:spacing w:after="0"/>
        <w:rPr>
          <w:sz w:val="20"/>
          <w:szCs w:val="20"/>
          <w:color w:val="auto"/>
        </w:rPr>
      </w:pPr>
      <w:r>
        <w:rPr>
          <w:rFonts w:ascii="Courier New" w:cs="Courier New" w:eastAsia="Courier New" w:hAnsi="Courier New"/>
          <w:sz w:val="18"/>
          <w:szCs w:val="18"/>
          <w:color w:val="auto"/>
        </w:rPr>
        <w:t>the quarter resulted from the funding of operating losses, investments in</w:t>
      </w:r>
    </w:p>
    <w:p>
      <w:pPr>
        <w:spacing w:after="0" w:line="238" w:lineRule="auto"/>
        <w:rPr>
          <w:sz w:val="20"/>
          <w:szCs w:val="20"/>
          <w:color w:val="auto"/>
        </w:rPr>
      </w:pPr>
      <w:r>
        <w:rPr>
          <w:rFonts w:ascii="Courier New" w:cs="Courier New" w:eastAsia="Courier New" w:hAnsi="Courier New"/>
          <w:sz w:val="18"/>
          <w:szCs w:val="18"/>
          <w:color w:val="auto"/>
        </w:rPr>
        <w:t>capital equipment and principal payments on debt and capital lease</w:t>
      </w:r>
    </w:p>
    <w:p>
      <w:pPr>
        <w:spacing w:after="0"/>
        <w:rPr>
          <w:sz w:val="20"/>
          <w:szCs w:val="20"/>
          <w:color w:val="auto"/>
        </w:rPr>
      </w:pPr>
      <w:r>
        <w:rPr>
          <w:rFonts w:ascii="Courier New" w:cs="Courier New" w:eastAsia="Courier New" w:hAnsi="Courier New"/>
          <w:sz w:val="18"/>
          <w:szCs w:val="18"/>
          <w:color w:val="auto"/>
        </w:rPr>
        <w:t>obligations.</w:t>
      </w:r>
    </w:p>
    <w:p>
      <w:pPr>
        <w:spacing w:after="0" w:line="169" w:lineRule="exact"/>
        <w:rPr>
          <w:sz w:val="20"/>
          <w:szCs w:val="20"/>
          <w:color w:val="auto"/>
        </w:rPr>
      </w:pPr>
    </w:p>
    <w:p>
      <w:pPr>
        <w:ind w:right="3039" w:firstLine="527"/>
        <w:spacing w:after="0" w:line="257" w:lineRule="auto"/>
        <w:rPr>
          <w:sz w:val="20"/>
          <w:szCs w:val="20"/>
          <w:color w:val="auto"/>
        </w:rPr>
      </w:pPr>
      <w:r>
        <w:rPr>
          <w:rFonts w:ascii="Courier New" w:cs="Courier New" w:eastAsia="Courier New" w:hAnsi="Courier New"/>
          <w:sz w:val="18"/>
          <w:szCs w:val="18"/>
          <w:color w:val="auto"/>
        </w:rPr>
        <w:t>The Company had long-term debt and capital lease obligations at March 31, 1997 totaling $25.8 million, versus $26.1 million at</w:t>
      </w:r>
    </w:p>
    <w:p>
      <w:pPr>
        <w:ind w:right="2099"/>
        <w:spacing w:after="0" w:line="252" w:lineRule="auto"/>
        <w:rPr>
          <w:sz w:val="20"/>
          <w:szCs w:val="20"/>
          <w:color w:val="auto"/>
        </w:rPr>
      </w:pPr>
      <w:r>
        <w:rPr>
          <w:rFonts w:ascii="Courier New" w:cs="Courier New" w:eastAsia="Courier New" w:hAnsi="Courier New"/>
          <w:sz w:val="18"/>
          <w:szCs w:val="18"/>
          <w:color w:val="auto"/>
        </w:rPr>
        <w:t>December 31, 1996. The decrease was due to principal repayments on existing obligations, partially offset by additional capital lease financing. The Company expects that its capital lease obligations will increase over time to fund capital equipment acquisitions required for its expanding business. Lease lines will continue to be used by the Company to the extent that the terms thereof remain commercially attractive.</w:t>
      </w:r>
    </w:p>
    <w:p>
      <w:pPr>
        <w:spacing w:after="0" w:line="101" w:lineRule="exact"/>
        <w:rPr>
          <w:sz w:val="20"/>
          <w:szCs w:val="20"/>
          <w:color w:val="auto"/>
        </w:rPr>
      </w:pPr>
    </w:p>
    <w:p>
      <w:pPr>
        <w:ind w:right="1999" w:firstLine="527"/>
        <w:spacing w:after="0" w:line="282" w:lineRule="auto"/>
        <w:rPr>
          <w:sz w:val="20"/>
          <w:szCs w:val="20"/>
          <w:color w:val="auto"/>
        </w:rPr>
      </w:pPr>
      <w:r>
        <w:rPr>
          <w:rFonts w:ascii="Courier New" w:cs="Courier New" w:eastAsia="Courier New" w:hAnsi="Courier New"/>
          <w:sz w:val="16"/>
          <w:szCs w:val="16"/>
          <w:color w:val="auto"/>
        </w:rPr>
        <w:t>The Company expects to incur substantial additional research and development costs, including costs related to clinical trials, manufacturing costs, and marketing and distribution expenses, and expects losses to continue to increase as the Company's preclinical testing and clinical trial efforts expand. It is the Company's intention to seek additional collaborative research and development relationships with suitable potential corporate partners. There can be no assurance that any agreements resulting from these discussions will successfully reduce the Company's funding requirements, and arrangements with collaborative partners or others may require the Company to relinquish rights to certain of its technologies, product candidates or products. Additional equity or debt financings will be required, and there can be no assurance that these funds will be available on favorable terms,</w:t>
      </w:r>
    </w:p>
    <w:p>
      <w:pPr>
        <w:spacing w:after="0" w:line="2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285" w:right="1440" w:bottom="1440" w:gutter="0" w:footer="0" w:header="0"/>
        </w:sectPr>
      </w:pPr>
    </w:p>
    <w:bookmarkStart w:id="8" w:name="page9"/>
    <w:bookmarkEnd w:id="8"/>
    <w:p>
      <w:pPr>
        <w:ind w:left="1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right="2739"/>
        <w:spacing w:after="0" w:line="402" w:lineRule="auto"/>
        <w:rPr>
          <w:sz w:val="20"/>
          <w:szCs w:val="20"/>
          <w:color w:val="auto"/>
        </w:rPr>
      </w:pPr>
      <w:r>
        <w:rPr>
          <w:rFonts w:ascii="Courier New" w:cs="Courier New" w:eastAsia="Courier New" w:hAnsi="Courier New"/>
          <w:sz w:val="16"/>
          <w:szCs w:val="16"/>
          <w:color w:val="auto"/>
        </w:rPr>
        <w:t>if at all. If additional funds are raised by issuing equity securities, further dilution to then existing stockholders may result.</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 anticipates that its existing available cash,</w:t>
      </w:r>
    </w:p>
    <w:p>
      <w:pPr>
        <w:spacing w:after="0" w:line="31" w:lineRule="exact"/>
        <w:rPr>
          <w:sz w:val="20"/>
          <w:szCs w:val="20"/>
          <w:color w:val="auto"/>
        </w:rPr>
      </w:pPr>
    </w:p>
    <w:p>
      <w:pPr>
        <w:ind w:right="1999"/>
        <w:spacing w:after="0" w:line="243" w:lineRule="auto"/>
        <w:rPr>
          <w:sz w:val="20"/>
          <w:szCs w:val="20"/>
          <w:color w:val="auto"/>
        </w:rPr>
      </w:pPr>
      <w:r>
        <w:rPr>
          <w:rFonts w:ascii="Courier New" w:cs="Courier New" w:eastAsia="Courier New" w:hAnsi="Courier New"/>
          <w:sz w:val="18"/>
          <w:szCs w:val="18"/>
          <w:color w:val="auto"/>
        </w:rPr>
        <w:t>cash equivalents and short-term investments, combined with anticipated interest income and contract revenues, will be adequate to satisfy its anticipated capital requirements for approximately two years. The Company's future capital requirements will depend on many factors, including continued scientific progress in its research, drug discovery and development programs; the magnitude of these programs and progress with preclinical and clinical trials; the time and costs involved in obtaining regulatory approvals; the cost involved in filing, prosecuting and enforcing patent claims; competing technological and market developments; changes in the existing collaborative research and development relationships and the ability of the Company to establish additional research and development arrangements; and the cost of manufacturing scale-up and effective commercialization activities and arrangements. If adequate funds are not available, the Company may be required to significantly curtail one or more of its research, drug discovery or development programs.</w:t>
      </w:r>
    </w:p>
    <w:p>
      <w:pPr>
        <w:spacing w:after="0" w:line="112" w:lineRule="exact"/>
        <w:rPr>
          <w:sz w:val="20"/>
          <w:szCs w:val="20"/>
          <w:color w:val="auto"/>
        </w:rPr>
      </w:pPr>
    </w:p>
    <w:p>
      <w:pPr>
        <w:ind w:right="2619" w:firstLine="527"/>
        <w:spacing w:after="0" w:line="253" w:lineRule="auto"/>
        <w:rPr>
          <w:sz w:val="20"/>
          <w:szCs w:val="20"/>
          <w:color w:val="auto"/>
        </w:rPr>
      </w:pPr>
      <w:r>
        <w:rPr>
          <w:rFonts w:ascii="Courier New" w:cs="Courier New" w:eastAsia="Courier New" w:hAnsi="Courier New"/>
          <w:sz w:val="18"/>
          <w:szCs w:val="18"/>
          <w:color w:val="auto"/>
        </w:rPr>
        <w:t>Uncertainties associated with the length and expense of preclinical and clinical testing of any of the Company's products could greatly increase the cost of development of such product and affect the timing of anticipated revenue from product sales, and failure by the Company to obtain regulatory approval for any product will preclude its commercialization. In addition, the failure by the Company to obtain patent protection for its products may make certain of its products commercially unattractive.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285" w:right="1440" w:bottom="1440" w:gutter="0" w:footer="0" w:header="0"/>
        </w:sectPr>
      </w:pPr>
    </w:p>
    <w:bookmarkStart w:id="9" w:name="page10"/>
    <w:bookmarkEnd w:id="9"/>
    <w:p>
      <w:pPr>
        <w:ind w:left="1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PART II - OTHER INFORMATION</w:t>
      </w:r>
    </w:p>
    <w:p>
      <w:pPr>
        <w:sectPr>
          <w:pgSz w:w="11900" w:h="16838" w:orient="portrait"/>
          <w:cols w:equalWidth="0" w:num="1">
            <w:col w:w="10219"/>
          </w:cols>
          <w:pgMar w:left="240" w:top="285"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PROCEEDINGS</w:t>
      </w:r>
    </w:p>
    <w:p>
      <w:pPr>
        <w:spacing w:after="0" w:line="200" w:lineRule="exact"/>
        <w:rPr>
          <w:sz w:val="20"/>
          <w:szCs w:val="20"/>
          <w:color w:val="auto"/>
        </w:rPr>
      </w:pPr>
    </w:p>
    <w:p>
      <w:pPr>
        <w:sectPr>
          <w:pgSz w:w="11900" w:h="16838" w:orient="portrait"/>
          <w:cols w:equalWidth="0" w:num="2">
            <w:col w:w="740" w:space="540"/>
            <w:col w:w="8939"/>
          </w:cols>
          <w:pgMar w:left="240" w:top="285" w:right="1440" w:bottom="1440" w:gutter="0" w:footer="0" w:header="0"/>
          <w:type w:val="continuous"/>
        </w:sectPr>
      </w:pPr>
    </w:p>
    <w:p>
      <w:pPr>
        <w:spacing w:after="0" w:line="2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The Company is not party to any legal proceedings.</w:t>
      </w:r>
    </w:p>
    <w:p>
      <w:pPr>
        <w:sectPr>
          <w:pgSz w:w="11900" w:h="16838" w:orient="portrait"/>
          <w:cols w:equalWidth="0" w:num="1">
            <w:col w:w="10219"/>
          </w:cols>
          <w:pgMar w:left="240" w:top="28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CHANGES IN SECURITIES</w:t>
      </w:r>
    </w:p>
    <w:p>
      <w:pPr>
        <w:spacing w:after="0" w:line="200" w:lineRule="exact"/>
        <w:rPr>
          <w:sz w:val="20"/>
          <w:szCs w:val="20"/>
          <w:color w:val="auto"/>
        </w:rPr>
      </w:pPr>
    </w:p>
    <w:p>
      <w:pPr>
        <w:sectPr>
          <w:pgSz w:w="11900" w:h="16838" w:orient="portrait"/>
          <w:cols w:equalWidth="0" w:num="2">
            <w:col w:w="740" w:space="540"/>
            <w:col w:w="8939"/>
          </w:cols>
          <w:pgMar w:left="240" w:top="285" w:right="1440" w:bottom="1440" w:gutter="0" w:footer="0" w:header="0"/>
          <w:type w:val="continuous"/>
        </w:sectPr>
      </w:pPr>
    </w:p>
    <w:p>
      <w:pPr>
        <w:spacing w:after="0" w:line="2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28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DEFAULT UPON SENIOR SECURITIES</w:t>
      </w:r>
    </w:p>
    <w:p>
      <w:pPr>
        <w:spacing w:after="0" w:line="200" w:lineRule="exact"/>
        <w:rPr>
          <w:sz w:val="20"/>
          <w:szCs w:val="20"/>
          <w:color w:val="auto"/>
        </w:rPr>
      </w:pPr>
    </w:p>
    <w:p>
      <w:pPr>
        <w:sectPr>
          <w:pgSz w:w="11900" w:h="16838" w:orient="portrait"/>
          <w:cols w:equalWidth="0" w:num="2">
            <w:col w:w="740" w:space="540"/>
            <w:col w:w="8939"/>
          </w:cols>
          <w:pgMar w:left="240" w:top="285" w:right="1440" w:bottom="1440" w:gutter="0" w:footer="0" w:header="0"/>
          <w:type w:val="continuous"/>
        </w:sectPr>
      </w:pPr>
    </w:p>
    <w:p>
      <w:pPr>
        <w:spacing w:after="0" w:line="2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28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SUBMISSION OF MATTERS TO A VOTE OF SECURITY HOLDERS</w:t>
      </w:r>
    </w:p>
    <w:p>
      <w:pPr>
        <w:spacing w:after="0" w:line="200" w:lineRule="exact"/>
        <w:rPr>
          <w:sz w:val="20"/>
          <w:szCs w:val="20"/>
          <w:color w:val="auto"/>
        </w:rPr>
      </w:pPr>
    </w:p>
    <w:p>
      <w:pPr>
        <w:sectPr>
          <w:pgSz w:w="11900" w:h="16838" w:orient="portrait"/>
          <w:cols w:equalWidth="0" w:num="2">
            <w:col w:w="740" w:space="540"/>
            <w:col w:w="8939"/>
          </w:cols>
          <w:pgMar w:left="240" w:top="285" w:right="1440" w:bottom="1440" w:gutter="0" w:footer="0" w:header="0"/>
          <w:type w:val="continuous"/>
        </w:sectPr>
      </w:pPr>
    </w:p>
    <w:p>
      <w:pPr>
        <w:spacing w:after="0" w:line="2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28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INFORMATION</w:t>
      </w:r>
    </w:p>
    <w:p>
      <w:pPr>
        <w:spacing w:after="0" w:line="200" w:lineRule="exact"/>
        <w:rPr>
          <w:sz w:val="20"/>
          <w:szCs w:val="20"/>
          <w:color w:val="auto"/>
        </w:rPr>
      </w:pPr>
    </w:p>
    <w:p>
      <w:pPr>
        <w:sectPr>
          <w:pgSz w:w="11900" w:h="16838" w:orient="portrait"/>
          <w:cols w:equalWidth="0" w:num="2">
            <w:col w:w="740" w:space="540"/>
            <w:col w:w="8939"/>
          </w:cols>
          <w:pgMar w:left="240" w:top="285" w:right="1440" w:bottom="1440" w:gutter="0" w:footer="0" w:header="0"/>
          <w:type w:val="continuous"/>
        </w:sectPr>
      </w:pPr>
    </w:p>
    <w:p>
      <w:pPr>
        <w:spacing w:after="0" w:line="2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28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EXHIBITS AND REPORTS ON FORM 8-K</w:t>
      </w:r>
    </w:p>
    <w:p>
      <w:pPr>
        <w:spacing w:after="0" w:line="200" w:lineRule="exact"/>
        <w:rPr>
          <w:sz w:val="20"/>
          <w:szCs w:val="20"/>
          <w:color w:val="auto"/>
        </w:rPr>
      </w:pPr>
    </w:p>
    <w:p>
      <w:pPr>
        <w:sectPr>
          <w:pgSz w:w="11900" w:h="16838" w:orient="portrait"/>
          <w:cols w:equalWidth="0" w:num="2">
            <w:col w:w="740" w:space="540"/>
            <w:col w:w="8939"/>
          </w:cols>
          <w:pgMar w:left="240" w:top="285" w:right="1440" w:bottom="1440" w:gutter="0" w:footer="0" w:header="0"/>
          <w:type w:val="continuous"/>
        </w:sectPr>
      </w:pPr>
    </w:p>
    <w:p>
      <w:pPr>
        <w:spacing w:after="0" w:line="24" w:lineRule="exact"/>
        <w:rPr>
          <w:sz w:val="20"/>
          <w:szCs w:val="20"/>
          <w:color w:val="auto"/>
        </w:rPr>
      </w:pPr>
    </w:p>
    <w:p>
      <w:pPr>
        <w:ind w:left="1280" w:hanging="745"/>
        <w:spacing w:after="0"/>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30" w:lineRule="exact"/>
        <w:rPr>
          <w:rFonts w:ascii="Courier New" w:cs="Courier New" w:eastAsia="Courier New" w:hAnsi="Courier New"/>
          <w:sz w:val="18"/>
          <w:szCs w:val="18"/>
          <w:color w:val="auto"/>
        </w:rPr>
      </w:pP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371" w:lineRule="exact"/>
        <w:rPr>
          <w:rFonts w:ascii="Courier New" w:cs="Courier New" w:eastAsia="Courier New" w:hAnsi="Courier New"/>
          <w:sz w:val="18"/>
          <w:szCs w:val="18"/>
          <w:color w:val="auto"/>
        </w:rPr>
      </w:pPr>
    </w:p>
    <w:p>
      <w:pPr>
        <w:ind w:left="1280" w:hanging="745"/>
        <w:spacing w:after="0"/>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30"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1280" w:right="3579"/>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filed no reports on Form 8-K during the quarter ended March 31,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285" w:right="1440" w:bottom="1440" w:gutter="0" w:footer="0" w:header="0"/>
          <w:type w:val="continuous"/>
        </w:sectPr>
      </w:pPr>
    </w:p>
    <w:bookmarkStart w:id="10" w:name="page11"/>
    <w:bookmarkEnd w:id="10"/>
    <w:p>
      <w:pPr>
        <w:ind w:left="1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ISIS PHARMACEUTICALS,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4" w:lineRule="exact"/>
        <w:rPr>
          <w:sz w:val="20"/>
          <w:szCs w:val="20"/>
          <w:color w:val="auto"/>
        </w:rPr>
      </w:pPr>
    </w:p>
    <w:p>
      <w:pPr>
        <w:ind w:right="303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ISIS PHARMACEUTICALS, INC.</w:t>
      </w:r>
    </w:p>
    <w:p>
      <w:pPr>
        <w:spacing w:after="0" w:line="2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285"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7, 1997</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 STANLEY T. CROOKE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Stanley T. Crooke, M.D., Ph.D.</w:t>
      </w:r>
    </w:p>
    <w:p>
      <w:pPr>
        <w:ind w:left="320"/>
        <w:spacing w:after="0" w:line="238" w:lineRule="auto"/>
        <w:rPr>
          <w:sz w:val="20"/>
          <w:szCs w:val="20"/>
          <w:color w:val="auto"/>
        </w:rPr>
      </w:pPr>
      <w:r>
        <w:rPr>
          <w:rFonts w:ascii="Courier New" w:cs="Courier New" w:eastAsia="Courier New" w:hAnsi="Courier New"/>
          <w:sz w:val="18"/>
          <w:szCs w:val="18"/>
          <w:color w:val="auto"/>
        </w:rPr>
        <w:t>Chairman of the Board and</w:t>
      </w:r>
    </w:p>
    <w:p>
      <w:pPr>
        <w:ind w:left="320"/>
        <w:spacing w:after="0"/>
        <w:rPr>
          <w:sz w:val="20"/>
          <w:szCs w:val="20"/>
          <w:color w:val="auto"/>
        </w:rPr>
      </w:pPr>
      <w:r>
        <w:rPr>
          <w:rFonts w:ascii="Courier New" w:cs="Courier New" w:eastAsia="Courier New" w:hAnsi="Courier New"/>
          <w:sz w:val="18"/>
          <w:szCs w:val="18"/>
          <w:color w:val="auto"/>
        </w:rPr>
        <w:t>Chief Executive Officer</w:t>
      </w:r>
    </w:p>
    <w:p>
      <w:pPr>
        <w:ind w:left="320"/>
        <w:spacing w:after="0"/>
        <w:rPr>
          <w:sz w:val="20"/>
          <w:szCs w:val="20"/>
          <w:color w:val="auto"/>
        </w:rPr>
      </w:pPr>
      <w:r>
        <w:rPr>
          <w:rFonts w:ascii="Courier New" w:cs="Courier New" w:eastAsia="Courier New" w:hAnsi="Courier New"/>
          <w:sz w:val="18"/>
          <w:szCs w:val="18"/>
          <w:color w:val="auto"/>
        </w:rPr>
        <w:t>(Principal Executive Officer)</w:t>
      </w:r>
    </w:p>
    <w:p>
      <w:pPr>
        <w:spacing w:after="0" w:line="200" w:lineRule="exact"/>
        <w:rPr>
          <w:sz w:val="20"/>
          <w:szCs w:val="20"/>
          <w:color w:val="auto"/>
        </w:rPr>
      </w:pPr>
    </w:p>
    <w:p>
      <w:pPr>
        <w:sectPr>
          <w:pgSz w:w="11900" w:h="16838" w:orient="portrait"/>
          <w:cols w:equalWidth="0" w:num="3">
            <w:col w:w="2340" w:space="720"/>
            <w:col w:w="320" w:space="100"/>
            <w:col w:w="6739"/>
          </w:cols>
          <w:pgMar w:left="240" w:top="285" w:right="1440"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7, 1997</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 B. LYNNE PARSHALL</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 Lynne Parshall</w:t>
      </w:r>
    </w:p>
    <w:p>
      <w:pPr>
        <w:ind w:left="220"/>
        <w:spacing w:after="0" w:line="238" w:lineRule="auto"/>
        <w:rPr>
          <w:sz w:val="20"/>
          <w:szCs w:val="20"/>
          <w:color w:val="auto"/>
        </w:rPr>
      </w:pPr>
      <w:r>
        <w:rPr>
          <w:rFonts w:ascii="Courier New" w:cs="Courier New" w:eastAsia="Courier New" w:hAnsi="Courier New"/>
          <w:sz w:val="18"/>
          <w:szCs w:val="18"/>
          <w:color w:val="auto"/>
        </w:rPr>
        <w:t>Executive Vice President and</w:t>
      </w:r>
    </w:p>
    <w:p>
      <w:pPr>
        <w:ind w:left="220"/>
        <w:spacing w:after="0"/>
        <w:rPr>
          <w:sz w:val="20"/>
          <w:szCs w:val="20"/>
          <w:color w:val="auto"/>
        </w:rPr>
      </w:pPr>
      <w:r>
        <w:rPr>
          <w:rFonts w:ascii="Courier New" w:cs="Courier New" w:eastAsia="Courier New" w:hAnsi="Courier New"/>
          <w:sz w:val="18"/>
          <w:szCs w:val="18"/>
          <w:color w:val="auto"/>
        </w:rPr>
        <w:t>Chief Financial Officer</w:t>
      </w:r>
    </w:p>
    <w:p>
      <w:pPr>
        <w:ind w:left="220"/>
        <w:spacing w:after="0"/>
        <w:rPr>
          <w:sz w:val="20"/>
          <w:szCs w:val="20"/>
          <w:color w:val="auto"/>
        </w:rPr>
      </w:pPr>
      <w:r>
        <w:rPr>
          <w:rFonts w:ascii="Courier New" w:cs="Courier New" w:eastAsia="Courier New" w:hAnsi="Courier New"/>
          <w:sz w:val="18"/>
          <w:szCs w:val="18"/>
          <w:color w:val="auto"/>
        </w:rPr>
        <w:t>(Principal Financial Officer)</w:t>
      </w:r>
    </w:p>
    <w:p>
      <w:pPr>
        <w:spacing w:after="0" w:line="200" w:lineRule="exact"/>
        <w:rPr>
          <w:sz w:val="20"/>
          <w:szCs w:val="20"/>
          <w:color w:val="auto"/>
        </w:rPr>
      </w:pPr>
    </w:p>
    <w:p>
      <w:pPr>
        <w:sectPr>
          <w:pgSz w:w="11900" w:h="16838" w:orient="portrait"/>
          <w:cols w:equalWidth="0" w:num="3">
            <w:col w:w="2340" w:space="720"/>
            <w:col w:w="320" w:space="200"/>
            <w:col w:w="6639"/>
          </w:cols>
          <w:pgMar w:left="240" w:top="28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85" w:right="1440" w:bottom="1440" w:gutter="0" w:footer="0" w:header="0"/>
          <w:type w:val="continuous"/>
        </w:sectPr>
      </w:pPr>
    </w:p>
    <w:bookmarkStart w:id="11" w:name="page12"/>
    <w:bookmarkEnd w:id="11"/>
    <w:p>
      <w:pPr>
        <w:ind w:left="120"/>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285" w:right="1440" w:bottom="1440" w:gutter="0" w:footer="0" w:header="0"/>
        </w:sectPr>
      </w:pPr>
    </w:p>
    <w:p>
      <w:pPr>
        <w:spacing w:after="0" w:line="224" w:lineRule="exact"/>
        <w:rPr>
          <w:sz w:val="20"/>
          <w:szCs w:val="20"/>
          <w:color w:val="auto"/>
        </w:rPr>
      </w:pPr>
    </w:p>
    <w:p>
      <w:pPr>
        <w:ind w:right="220"/>
        <w:spacing w:after="0" w:line="402"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1600" w:space="720"/>
            <w:col w:w="7899"/>
          </w:cols>
          <w:pgMar w:left="240" w:top="285"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Financial Data Schedule</w:t>
      </w:r>
    </w:p>
    <w:p>
      <w:pPr>
        <w:sectPr>
          <w:pgSz w:w="11900" w:h="16838" w:orient="portrait"/>
          <w:cols w:equalWidth="0" w:num="2">
            <w:col w:w="1280" w:space="720"/>
            <w:col w:w="8219"/>
          </w:cols>
          <w:pgMar w:left="240" w:top="285" w:right="1440" w:bottom="1440" w:gutter="0" w:footer="0" w:header="0"/>
          <w:type w:val="continuous"/>
        </w:sectPr>
      </w:pPr>
    </w:p>
    <w:bookmarkStart w:id="12" w:name="page13"/>
    <w:bookmarkEnd w:id="12"/>
    <w:p>
      <w:pPr>
        <w:ind w:left="8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schedule contains summary financial information derived from</w:t>
      </w:r>
    </w:p>
    <w:p>
      <w:pPr>
        <w:spacing w:after="0" w:line="31" w:lineRule="exact"/>
        <w:rPr>
          <w:sz w:val="20"/>
          <w:szCs w:val="20"/>
          <w:color w:val="auto"/>
        </w:rPr>
      </w:pPr>
    </w:p>
    <w:p>
      <w:pPr>
        <w:ind w:right="2819"/>
        <w:spacing w:after="0" w:line="262" w:lineRule="auto"/>
        <w:rPr>
          <w:sz w:val="20"/>
          <w:szCs w:val="20"/>
          <w:color w:val="auto"/>
        </w:rPr>
      </w:pPr>
      <w:r>
        <w:rPr>
          <w:rFonts w:ascii="Courier New" w:cs="Courier New" w:eastAsia="Courier New" w:hAnsi="Courier New"/>
          <w:sz w:val="18"/>
          <w:szCs w:val="18"/>
          <w:color w:val="auto"/>
        </w:rPr>
        <w:t>the Company's Condensed Balance Sheet as of March 31, 1997 (Unaudited) and Condensed Statements of Operations for the Three Months Ended March 31, 1997(Unaudited) and is qualified in its entirety by the reference to such financial statements.</w:t>
      </w:r>
    </w:p>
    <w:p>
      <w:pPr>
        <w:spacing w:after="0" w:line="90"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3-MOS</w:t>
      </w:r>
    </w:p>
    <w:p>
      <w:pPr>
        <w:spacing w:after="0" w:line="29" w:lineRule="exact"/>
        <w:rPr>
          <w:sz w:val="20"/>
          <w:szCs w:val="20"/>
          <w:color w:val="auto"/>
        </w:rPr>
      </w:pPr>
    </w:p>
    <w:p>
      <w:pPr>
        <w:ind w:left="2280"/>
        <w:spacing w:after="0"/>
        <w:rPr>
          <w:sz w:val="20"/>
          <w:szCs w:val="20"/>
          <w:color w:val="auto"/>
        </w:rPr>
      </w:pPr>
      <w:r>
        <w:rPr>
          <w:rFonts w:ascii="Courier New" w:cs="Courier New" w:eastAsia="Courier New" w:hAnsi="Courier New"/>
          <w:sz w:val="18"/>
          <w:szCs w:val="18"/>
          <w:color w:val="auto"/>
        </w:rPr>
        <w:t>DEC-31-1996</w:t>
      </w:r>
    </w:p>
    <w:p>
      <w:pPr>
        <w:ind w:left="2600"/>
        <w:spacing w:after="0" w:line="238" w:lineRule="auto"/>
        <w:rPr>
          <w:sz w:val="20"/>
          <w:szCs w:val="20"/>
          <w:color w:val="auto"/>
        </w:rPr>
      </w:pPr>
      <w:r>
        <w:rPr>
          <w:rFonts w:ascii="Courier New" w:cs="Courier New" w:eastAsia="Courier New" w:hAnsi="Courier New"/>
          <w:sz w:val="18"/>
          <w:szCs w:val="18"/>
          <w:color w:val="auto"/>
        </w:rPr>
        <w:t>JAN-01-1997</w:t>
      </w:r>
    </w:p>
    <w:p>
      <w:pPr>
        <w:ind w:left="2820"/>
        <w:spacing w:after="0"/>
        <w:rPr>
          <w:sz w:val="20"/>
          <w:szCs w:val="20"/>
          <w:color w:val="auto"/>
        </w:rPr>
      </w:pPr>
      <w:r>
        <w:rPr>
          <w:rFonts w:ascii="Courier New" w:cs="Courier New" w:eastAsia="Courier New" w:hAnsi="Courier New"/>
          <w:sz w:val="18"/>
          <w:szCs w:val="18"/>
          <w:color w:val="auto"/>
        </w:rPr>
        <w:t>MAR-31-1997</w:t>
      </w:r>
    </w:p>
    <w:p>
      <w:pPr>
        <w:ind w:left="3540"/>
        <w:spacing w:after="0" w:line="238" w:lineRule="auto"/>
        <w:rPr>
          <w:sz w:val="20"/>
          <w:szCs w:val="20"/>
          <w:color w:val="auto"/>
        </w:rPr>
      </w:pPr>
      <w:r>
        <w:rPr>
          <w:rFonts w:ascii="Courier New" w:cs="Courier New" w:eastAsia="Courier New" w:hAnsi="Courier New"/>
          <w:sz w:val="18"/>
          <w:szCs w:val="18"/>
          <w:color w:val="auto"/>
        </w:rPr>
        <w:t>26,249</w:t>
      </w:r>
    </w:p>
    <w:p>
      <w:pPr>
        <w:ind w:left="2920"/>
        <w:spacing w:after="0"/>
        <w:rPr>
          <w:sz w:val="20"/>
          <w:szCs w:val="20"/>
          <w:color w:val="auto"/>
        </w:rPr>
      </w:pPr>
      <w:r>
        <w:rPr>
          <w:rFonts w:ascii="Courier New" w:cs="Courier New" w:eastAsia="Courier New" w:hAnsi="Courier New"/>
          <w:sz w:val="18"/>
          <w:szCs w:val="18"/>
          <w:color w:val="auto"/>
        </w:rPr>
        <w:t>45,146</w:t>
      </w:r>
    </w:p>
    <w:p>
      <w:pPr>
        <w:ind w:left="3340"/>
        <w:spacing w:after="0" w:line="238" w:lineRule="auto"/>
        <w:rPr>
          <w:sz w:val="20"/>
          <w:szCs w:val="20"/>
          <w:color w:val="auto"/>
        </w:rPr>
      </w:pPr>
      <w:r>
        <w:rPr>
          <w:rFonts w:ascii="Courier New" w:cs="Courier New" w:eastAsia="Courier New" w:hAnsi="Courier New"/>
          <w:sz w:val="18"/>
          <w:szCs w:val="18"/>
          <w:color w:val="auto"/>
        </w:rPr>
        <w:t>0</w:t>
      </w:r>
    </w:p>
    <w:p>
      <w:pPr>
        <w:ind w:left="3440"/>
        <w:spacing w:after="0"/>
        <w:rPr>
          <w:sz w:val="20"/>
          <w:szCs w:val="20"/>
          <w:color w:val="auto"/>
        </w:rPr>
      </w:pPr>
      <w:r>
        <w:rPr>
          <w:rFonts w:ascii="Courier New" w:cs="Courier New" w:eastAsia="Courier New" w:hAnsi="Courier New"/>
          <w:sz w:val="18"/>
          <w:szCs w:val="18"/>
          <w:color w:val="auto"/>
        </w:rPr>
        <w:t>0</w:t>
      </w:r>
    </w:p>
    <w:p>
      <w:pPr>
        <w:ind w:left="3540"/>
        <w:spacing w:after="0" w:line="238" w:lineRule="auto"/>
        <w:rPr>
          <w:sz w:val="20"/>
          <w:szCs w:val="20"/>
          <w:color w:val="auto"/>
        </w:rPr>
      </w:pPr>
      <w:r>
        <w:rPr>
          <w:rFonts w:ascii="Courier New" w:cs="Courier New" w:eastAsia="Courier New" w:hAnsi="Courier New"/>
          <w:sz w:val="18"/>
          <w:szCs w:val="18"/>
          <w:color w:val="auto"/>
        </w:rPr>
        <w:t>0</w:t>
      </w:r>
    </w:p>
    <w:p>
      <w:pPr>
        <w:ind w:left="2500"/>
        <w:spacing w:after="0"/>
        <w:rPr>
          <w:sz w:val="20"/>
          <w:szCs w:val="20"/>
          <w:color w:val="auto"/>
        </w:rPr>
      </w:pPr>
      <w:r>
        <w:rPr>
          <w:rFonts w:ascii="Courier New" w:cs="Courier New" w:eastAsia="Courier New" w:hAnsi="Courier New"/>
          <w:sz w:val="18"/>
          <w:szCs w:val="18"/>
          <w:color w:val="auto"/>
        </w:rPr>
        <w:t>73,186</w:t>
      </w:r>
    </w:p>
    <w:p>
      <w:pPr>
        <w:ind w:left="3540"/>
        <w:spacing w:after="0" w:line="238" w:lineRule="auto"/>
        <w:rPr>
          <w:sz w:val="20"/>
          <w:szCs w:val="20"/>
          <w:color w:val="auto"/>
        </w:rPr>
      </w:pPr>
      <w:r>
        <w:rPr>
          <w:rFonts w:ascii="Courier New" w:cs="Courier New" w:eastAsia="Courier New" w:hAnsi="Courier New"/>
          <w:sz w:val="18"/>
          <w:szCs w:val="18"/>
          <w:color w:val="auto"/>
        </w:rPr>
        <w:t>17,791</w:t>
      </w:r>
    </w:p>
    <w:p>
      <w:pPr>
        <w:jc w:val="right"/>
        <w:ind w:right="6839"/>
        <w:spacing w:after="0"/>
        <w:rPr>
          <w:sz w:val="20"/>
          <w:szCs w:val="20"/>
          <w:color w:val="auto"/>
        </w:rPr>
      </w:pPr>
      <w:r>
        <w:rPr>
          <w:rFonts w:ascii="Courier New" w:cs="Courier New" w:eastAsia="Courier New" w:hAnsi="Courier New"/>
          <w:sz w:val="18"/>
          <w:szCs w:val="18"/>
          <w:color w:val="auto"/>
        </w:rPr>
        <w:t>0</w:t>
      </w:r>
    </w:p>
    <w:p>
      <w:pPr>
        <w:jc w:val="right"/>
        <w:ind w:right="6839"/>
        <w:spacing w:after="0" w:line="238" w:lineRule="auto"/>
        <w:rPr>
          <w:sz w:val="20"/>
          <w:szCs w:val="20"/>
          <w:color w:val="auto"/>
        </w:rPr>
      </w:pPr>
      <w:r>
        <w:rPr>
          <w:rFonts w:ascii="Courier New" w:cs="Courier New" w:eastAsia="Courier New" w:hAnsi="Courier New"/>
          <w:sz w:val="18"/>
          <w:szCs w:val="18"/>
          <w:color w:val="auto"/>
        </w:rPr>
        <w:t>97,838</w:t>
      </w:r>
    </w:p>
    <w:p>
      <w:pPr>
        <w:ind w:left="1960"/>
        <w:spacing w:after="0"/>
        <w:rPr>
          <w:sz w:val="20"/>
          <w:szCs w:val="20"/>
          <w:color w:val="auto"/>
        </w:rPr>
      </w:pPr>
      <w:r>
        <w:rPr>
          <w:rFonts w:ascii="Courier New" w:cs="Courier New" w:eastAsia="Courier New" w:hAnsi="Courier New"/>
          <w:sz w:val="18"/>
          <w:szCs w:val="18"/>
          <w:color w:val="auto"/>
        </w:rPr>
        <w:t>27,034</w:t>
      </w:r>
    </w:p>
    <w:p>
      <w:pPr>
        <w:ind w:left="3440"/>
        <w:spacing w:after="0" w:line="238" w:lineRule="auto"/>
        <w:rPr>
          <w:sz w:val="20"/>
          <w:szCs w:val="20"/>
          <w:color w:val="auto"/>
        </w:rPr>
      </w:pPr>
      <w:r>
        <w:rPr>
          <w:rFonts w:ascii="Courier New" w:cs="Courier New" w:eastAsia="Courier New" w:hAnsi="Courier New"/>
          <w:sz w:val="18"/>
          <w:szCs w:val="18"/>
          <w:color w:val="auto"/>
        </w:rPr>
        <w:t>19,817</w:t>
      </w:r>
    </w:p>
    <w:p>
      <w:pPr>
        <w:ind w:left="2500"/>
        <w:spacing w:after="0"/>
        <w:rPr>
          <w:sz w:val="20"/>
          <w:szCs w:val="20"/>
          <w:color w:val="auto"/>
        </w:rPr>
      </w:pPr>
      <w:r>
        <w:rPr>
          <w:rFonts w:ascii="Courier New" w:cs="Courier New" w:eastAsia="Courier New" w:hAnsi="Courier New"/>
          <w:sz w:val="18"/>
          <w:szCs w:val="18"/>
          <w:color w:val="auto"/>
        </w:rPr>
        <w:t>0</w:t>
      </w:r>
    </w:p>
    <w:p>
      <w:pPr>
        <w:ind w:left="3540"/>
        <w:spacing w:after="0" w:line="238" w:lineRule="auto"/>
        <w:rPr>
          <w:sz w:val="20"/>
          <w:szCs w:val="20"/>
          <w:color w:val="auto"/>
        </w:rPr>
      </w:pPr>
      <w:r>
        <w:rPr>
          <w:rFonts w:ascii="Courier New" w:cs="Courier New" w:eastAsia="Courier New" w:hAnsi="Courier New"/>
          <w:sz w:val="18"/>
          <w:szCs w:val="18"/>
          <w:color w:val="auto"/>
        </w:rPr>
        <w:t>0</w:t>
      </w:r>
    </w:p>
    <w:p>
      <w:pPr>
        <w:ind w:left="3760"/>
        <w:spacing w:after="0"/>
        <w:rPr>
          <w:sz w:val="20"/>
          <w:szCs w:val="20"/>
          <w:color w:val="auto"/>
        </w:rPr>
      </w:pPr>
      <w:r>
        <w:rPr>
          <w:rFonts w:ascii="Courier New" w:cs="Courier New" w:eastAsia="Courier New" w:hAnsi="Courier New"/>
          <w:sz w:val="18"/>
          <w:szCs w:val="18"/>
          <w:color w:val="auto"/>
        </w:rPr>
        <w:t>26</w:t>
      </w:r>
    </w:p>
    <w:p>
      <w:pPr>
        <w:ind w:left="3120"/>
        <w:spacing w:after="0" w:line="238" w:lineRule="auto"/>
        <w:rPr>
          <w:sz w:val="20"/>
          <w:szCs w:val="20"/>
          <w:color w:val="auto"/>
        </w:rPr>
      </w:pPr>
      <w:r>
        <w:rPr>
          <w:rFonts w:ascii="Courier New" w:cs="Courier New" w:eastAsia="Courier New" w:hAnsi="Courier New"/>
          <w:sz w:val="18"/>
          <w:szCs w:val="18"/>
          <w:color w:val="auto"/>
        </w:rPr>
        <w:t>50,961</w:t>
      </w:r>
    </w:p>
    <w:p>
      <w:pPr>
        <w:ind w:left="1240"/>
        <w:spacing w:after="0"/>
        <w:rPr>
          <w:sz w:val="20"/>
          <w:szCs w:val="20"/>
          <w:color w:val="auto"/>
        </w:rPr>
      </w:pPr>
      <w:r>
        <w:rPr>
          <w:rFonts w:ascii="Courier New" w:cs="Courier New" w:eastAsia="Courier New" w:hAnsi="Courier New"/>
          <w:sz w:val="18"/>
          <w:szCs w:val="18"/>
          <w:color w:val="auto"/>
        </w:rPr>
        <w:t>97,838</w:t>
      </w:r>
    </w:p>
    <w:p>
      <w:pPr>
        <w:ind w:left="3980"/>
        <w:spacing w:after="0" w:line="238" w:lineRule="auto"/>
        <w:rPr>
          <w:sz w:val="20"/>
          <w:szCs w:val="20"/>
          <w:color w:val="auto"/>
        </w:rPr>
      </w:pPr>
      <w:r>
        <w:rPr>
          <w:rFonts w:ascii="Courier New" w:cs="Courier New" w:eastAsia="Courier New" w:hAnsi="Courier New"/>
          <w:sz w:val="18"/>
          <w:szCs w:val="18"/>
          <w:color w:val="auto"/>
        </w:rPr>
        <w:t>0</w:t>
      </w:r>
    </w:p>
    <w:p>
      <w:pPr>
        <w:ind w:left="2600"/>
        <w:spacing w:after="0"/>
        <w:rPr>
          <w:sz w:val="20"/>
          <w:szCs w:val="20"/>
          <w:color w:val="auto"/>
        </w:rPr>
      </w:pPr>
      <w:r>
        <w:rPr>
          <w:rFonts w:ascii="Courier New" w:cs="Courier New" w:eastAsia="Courier New" w:hAnsi="Courier New"/>
          <w:sz w:val="18"/>
          <w:szCs w:val="18"/>
          <w:color w:val="auto"/>
        </w:rPr>
        <w:t>5,573</w:t>
      </w:r>
    </w:p>
    <w:p>
      <w:pPr>
        <w:ind w:left="4180"/>
        <w:spacing w:after="0" w:line="238" w:lineRule="auto"/>
        <w:rPr>
          <w:sz w:val="20"/>
          <w:szCs w:val="20"/>
          <w:color w:val="auto"/>
        </w:rPr>
      </w:pPr>
      <w:r>
        <w:rPr>
          <w:rFonts w:ascii="Courier New" w:cs="Courier New" w:eastAsia="Courier New" w:hAnsi="Courier New"/>
          <w:sz w:val="18"/>
          <w:szCs w:val="18"/>
          <w:color w:val="auto"/>
        </w:rPr>
        <w:t>0</w:t>
      </w:r>
    </w:p>
    <w:p>
      <w:pPr>
        <w:ind w:left="3340"/>
        <w:spacing w:after="0"/>
        <w:rPr>
          <w:sz w:val="20"/>
          <w:szCs w:val="20"/>
          <w:color w:val="auto"/>
        </w:rPr>
      </w:pPr>
      <w:r>
        <w:rPr>
          <w:rFonts w:ascii="Courier New" w:cs="Courier New" w:eastAsia="Courier New" w:hAnsi="Courier New"/>
          <w:sz w:val="18"/>
          <w:szCs w:val="18"/>
          <w:color w:val="auto"/>
        </w:rPr>
        <w:t>0</w:t>
      </w:r>
    </w:p>
    <w:p>
      <w:pPr>
        <w:jc w:val="right"/>
        <w:ind w:right="7059"/>
        <w:spacing w:after="0" w:line="238" w:lineRule="auto"/>
        <w:rPr>
          <w:sz w:val="20"/>
          <w:szCs w:val="20"/>
          <w:color w:val="auto"/>
        </w:rPr>
      </w:pPr>
      <w:r>
        <w:rPr>
          <w:rFonts w:ascii="Courier New" w:cs="Courier New" w:eastAsia="Courier New" w:hAnsi="Courier New"/>
          <w:sz w:val="18"/>
          <w:szCs w:val="18"/>
          <w:color w:val="auto"/>
        </w:rPr>
        <w:t>13,493</w:t>
      </w:r>
    </w:p>
    <w:p>
      <w:pPr>
        <w:jc w:val="right"/>
        <w:ind w:right="7059"/>
        <w:spacing w:after="0"/>
        <w:rPr>
          <w:sz w:val="20"/>
          <w:szCs w:val="20"/>
          <w:color w:val="auto"/>
        </w:rPr>
      </w:pPr>
      <w:r>
        <w:rPr>
          <w:rFonts w:ascii="Courier New" w:cs="Courier New" w:eastAsia="Courier New" w:hAnsi="Courier New"/>
          <w:sz w:val="18"/>
          <w:szCs w:val="18"/>
          <w:color w:val="auto"/>
        </w:rPr>
        <w:t>0</w:t>
      </w:r>
    </w:p>
    <w:p>
      <w:pPr>
        <w:ind w:left="2600"/>
        <w:spacing w:after="0" w:line="238" w:lineRule="auto"/>
        <w:rPr>
          <w:sz w:val="20"/>
          <w:szCs w:val="20"/>
          <w:color w:val="auto"/>
        </w:rPr>
      </w:pPr>
      <w:r>
        <w:rPr>
          <w:rFonts w:ascii="Courier New" w:cs="Courier New" w:eastAsia="Courier New" w:hAnsi="Courier New"/>
          <w:sz w:val="18"/>
          <w:szCs w:val="18"/>
          <w:color w:val="auto"/>
        </w:rPr>
        <w:t>634</w:t>
      </w:r>
    </w:p>
    <w:p>
      <w:pPr>
        <w:ind w:left="2600"/>
        <w:spacing w:after="0"/>
        <w:rPr>
          <w:sz w:val="20"/>
          <w:szCs w:val="20"/>
          <w:color w:val="auto"/>
        </w:rPr>
      </w:pPr>
      <w:r>
        <w:rPr>
          <w:rFonts w:ascii="Courier New" w:cs="Courier New" w:eastAsia="Courier New" w:hAnsi="Courier New"/>
          <w:sz w:val="18"/>
          <w:szCs w:val="18"/>
          <w:color w:val="auto"/>
        </w:rPr>
        <w:t>(8,554)</w:t>
      </w:r>
    </w:p>
    <w:p>
      <w:pPr>
        <w:ind w:left="3440"/>
        <w:spacing w:after="0" w:line="238" w:lineRule="auto"/>
        <w:rPr>
          <w:sz w:val="20"/>
          <w:szCs w:val="20"/>
          <w:color w:val="auto"/>
        </w:rPr>
      </w:pPr>
      <w:r>
        <w:rPr>
          <w:rFonts w:ascii="Courier New" w:cs="Courier New" w:eastAsia="Courier New" w:hAnsi="Courier New"/>
          <w:sz w:val="18"/>
          <w:szCs w:val="18"/>
          <w:color w:val="auto"/>
        </w:rPr>
        <w:t>0</w:t>
      </w:r>
    </w:p>
    <w:p>
      <w:pPr>
        <w:ind w:left="2180"/>
        <w:spacing w:after="0"/>
        <w:rPr>
          <w:sz w:val="20"/>
          <w:szCs w:val="20"/>
          <w:color w:val="auto"/>
        </w:rPr>
      </w:pPr>
      <w:r>
        <w:rPr>
          <w:rFonts w:ascii="Courier New" w:cs="Courier New" w:eastAsia="Courier New" w:hAnsi="Courier New"/>
          <w:sz w:val="18"/>
          <w:szCs w:val="18"/>
          <w:color w:val="auto"/>
        </w:rPr>
        <w:t>(8,554)</w:t>
      </w:r>
    </w:p>
    <w:p>
      <w:pPr>
        <w:ind w:left="3240"/>
        <w:spacing w:after="0" w:line="238" w:lineRule="auto"/>
        <w:rPr>
          <w:sz w:val="20"/>
          <w:szCs w:val="20"/>
          <w:color w:val="auto"/>
        </w:rPr>
      </w:pPr>
      <w:r>
        <w:rPr>
          <w:rFonts w:ascii="Courier New" w:cs="Courier New" w:eastAsia="Courier New" w:hAnsi="Courier New"/>
          <w:sz w:val="18"/>
          <w:szCs w:val="18"/>
          <w:color w:val="auto"/>
        </w:rPr>
        <w:t>0</w:t>
      </w:r>
    </w:p>
    <w:p>
      <w:pPr>
        <w:ind w:left="3120"/>
        <w:spacing w:after="0"/>
        <w:rPr>
          <w:sz w:val="20"/>
          <w:szCs w:val="20"/>
          <w:color w:val="auto"/>
        </w:rPr>
      </w:pPr>
      <w:r>
        <w:rPr>
          <w:rFonts w:ascii="Courier New" w:cs="Courier New" w:eastAsia="Courier New" w:hAnsi="Courier New"/>
          <w:sz w:val="18"/>
          <w:szCs w:val="18"/>
          <w:color w:val="auto"/>
        </w:rPr>
        <w:t>0</w:t>
      </w:r>
    </w:p>
    <w:p>
      <w:pPr>
        <w:ind w:left="3760"/>
        <w:spacing w:after="0" w:line="238" w:lineRule="auto"/>
        <w:rPr>
          <w:sz w:val="20"/>
          <w:szCs w:val="20"/>
          <w:color w:val="auto"/>
        </w:rPr>
      </w:pPr>
      <w:r>
        <w:rPr>
          <w:rFonts w:ascii="Courier New" w:cs="Courier New" w:eastAsia="Courier New" w:hAnsi="Courier New"/>
          <w:sz w:val="18"/>
          <w:szCs w:val="18"/>
          <w:color w:val="auto"/>
        </w:rPr>
        <w:t>0</w:t>
      </w:r>
    </w:p>
    <w:p>
      <w:pPr>
        <w:jc w:val="center"/>
        <w:ind w:right="3599"/>
        <w:spacing w:after="0"/>
        <w:rPr>
          <w:sz w:val="20"/>
          <w:szCs w:val="20"/>
          <w:color w:val="auto"/>
        </w:rPr>
      </w:pPr>
      <w:r>
        <w:rPr>
          <w:rFonts w:ascii="Courier New" w:cs="Courier New" w:eastAsia="Courier New" w:hAnsi="Courier New"/>
          <w:sz w:val="18"/>
          <w:szCs w:val="18"/>
          <w:color w:val="auto"/>
        </w:rPr>
        <w:t>(8,554)</w:t>
      </w:r>
    </w:p>
    <w:p>
      <w:pPr>
        <w:jc w:val="center"/>
        <w:ind w:right="3599"/>
        <w:spacing w:after="0" w:line="238" w:lineRule="auto"/>
        <w:rPr>
          <w:sz w:val="20"/>
          <w:szCs w:val="20"/>
          <w:color w:val="auto"/>
        </w:rPr>
      </w:pPr>
      <w:r>
        <w:rPr>
          <w:rFonts w:ascii="Courier New" w:cs="Courier New" w:eastAsia="Courier New" w:hAnsi="Courier New"/>
          <w:sz w:val="18"/>
          <w:szCs w:val="18"/>
          <w:color w:val="auto"/>
        </w:rPr>
        <w:t>(.33)</w:t>
      </w:r>
    </w:p>
    <w:p>
      <w:pPr>
        <w:jc w:val="center"/>
        <w:ind w:right="3599"/>
        <w:spacing w:after="0"/>
        <w:rPr>
          <w:sz w:val="20"/>
          <w:szCs w:val="20"/>
          <w:color w:val="auto"/>
        </w:rPr>
      </w:pPr>
      <w:r>
        <w:rPr>
          <w:rFonts w:ascii="Courier New" w:cs="Courier New" w:eastAsia="Courier New" w:hAnsi="Courier New"/>
          <w:sz w:val="18"/>
          <w:szCs w:val="18"/>
          <w:color w:val="auto"/>
        </w:rPr>
        <w:t>(.33)</w:t>
      </w:r>
    </w:p>
    <w:sectPr>
      <w:pgSz w:w="11900" w:h="16838" w:orient="portrait"/>
      <w:cols w:equalWidth="0" w:num="1">
        <w:col w:w="10179"/>
      </w:cols>
      <w:pgMar w:left="28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2019-12-19T22:46:31Z</dcterms:created>
  <dcterms:modified xsi:type="dcterms:W3CDTF">2019-12-19T22:46:31Z</dcterms:modified>
</cp:coreProperties>
</file>