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162560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99" w:lineRule="exact"/>
        <w:rPr>
          <w:sz w:val="24"/>
          <w:szCs w:val="24"/>
          <w:color w:val="auto"/>
        </w:rPr>
      </w:pPr>
    </w:p>
    <w:p>
      <w:pPr>
        <w:jc w:val="center"/>
        <w:ind w:right="-186"/>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186"/>
        <w:spacing w:after="0" w:line="218"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8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86"/>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4" w:lineRule="exact"/>
        <w:rPr>
          <w:sz w:val="24"/>
          <w:szCs w:val="24"/>
          <w:color w:val="auto"/>
        </w:rPr>
      </w:pPr>
    </w:p>
    <w:p>
      <w:pPr>
        <w:jc w:val="center"/>
        <w:ind w:right="-186"/>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6" w:lineRule="exact"/>
        <w:rPr>
          <w:sz w:val="24"/>
          <w:szCs w:val="24"/>
          <w:color w:val="auto"/>
        </w:rPr>
      </w:pPr>
    </w:p>
    <w:p>
      <w:pPr>
        <w:jc w:val="center"/>
        <w:ind w:right="-186"/>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(Amendment No.  )</w:t>
      </w:r>
    </w:p>
    <w:p>
      <w:pPr>
        <w:spacing w:after="0" w:line="55" w:lineRule="exact"/>
        <w:rPr>
          <w:sz w:val="24"/>
          <w:szCs w:val="24"/>
          <w:color w:val="auto"/>
        </w:rPr>
      </w:pPr>
    </w:p>
    <w:p>
      <w:pPr>
        <w:ind w:left="7"/>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6"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117"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47" w:hanging="343"/>
        <w:spacing w:after="0"/>
        <w:tabs>
          <w:tab w:leader="none" w:pos="34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Times New Roman" w:cs="Times New Roman" w:eastAsia="Times New Roman" w:hAnsi="Times New Roman"/>
          <w:sz w:val="18"/>
          <w:szCs w:val="18"/>
          <w:color w:val="auto"/>
        </w:rPr>
      </w:pPr>
    </w:p>
    <w:p>
      <w:pPr>
        <w:ind w:left="347" w:hanging="343"/>
        <w:spacing w:after="0"/>
        <w:tabs>
          <w:tab w:leader="none" w:pos="34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347" w:hanging="347"/>
        <w:spacing w:after="0"/>
        <w:tabs>
          <w:tab w:leader="none" w:pos="34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347" w:hanging="343"/>
        <w:spacing w:after="0"/>
        <w:tabs>
          <w:tab w:leader="none" w:pos="3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Times New Roman" w:cs="Times New Roman" w:eastAsia="Times New Roman" w:hAnsi="Times New Roman"/>
          <w:sz w:val="18"/>
          <w:szCs w:val="18"/>
          <w:color w:val="auto"/>
        </w:rPr>
      </w:pPr>
    </w:p>
    <w:p>
      <w:pPr>
        <w:ind w:left="347" w:hanging="343"/>
        <w:spacing w:after="0"/>
        <w:tabs>
          <w:tab w:leader="none" w:pos="3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52" w:lineRule="exact"/>
        <w:rPr>
          <w:sz w:val="24"/>
          <w:szCs w:val="24"/>
          <w:color w:val="auto"/>
        </w:rPr>
      </w:pPr>
    </w:p>
    <w:p>
      <w:pPr>
        <w:jc w:val="center"/>
        <w:ind w:right="-186"/>
        <w:spacing w:after="0"/>
        <w:rPr>
          <w:sz w:val="20"/>
          <w:szCs w:val="20"/>
          <w:color w:val="auto"/>
        </w:rPr>
      </w:pPr>
      <w:r>
        <w:rPr>
          <w:rFonts w:ascii="Times New Roman" w:cs="Times New Roman" w:eastAsia="Times New Roman" w:hAnsi="Times New Roman"/>
          <w:sz w:val="43"/>
          <w:szCs w:val="43"/>
          <w:color w:val="auto"/>
        </w:rPr>
        <w:t>Ionis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6071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53" w:lineRule="exact"/>
        <w:rPr>
          <w:sz w:val="24"/>
          <w:szCs w:val="24"/>
          <w:color w:val="auto"/>
        </w:rPr>
      </w:pPr>
    </w:p>
    <w:p>
      <w:pPr>
        <w:jc w:val="center"/>
        <w:ind w:right="-186"/>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6071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71" w:lineRule="exact"/>
        <w:rPr>
          <w:sz w:val="24"/>
          <w:szCs w:val="24"/>
          <w:color w:val="auto"/>
        </w:rPr>
      </w:pPr>
    </w:p>
    <w:p>
      <w:pPr>
        <w:ind w:left="2187"/>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90"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36" w:lineRule="exact"/>
        <w:rPr>
          <w:sz w:val="24"/>
          <w:szCs w:val="24"/>
          <w:color w:val="auto"/>
        </w:rPr>
      </w:pPr>
    </w:p>
    <w:p>
      <w:pPr>
        <w:ind w:left="387" w:hanging="387"/>
        <w:spacing w:after="0"/>
        <w:tabs>
          <w:tab w:leader="none" w:pos="387"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47" w:lineRule="exact"/>
        <w:rPr>
          <w:sz w:val="24"/>
          <w:szCs w:val="24"/>
          <w:color w:val="auto"/>
        </w:rPr>
      </w:pPr>
    </w:p>
    <w:p>
      <w:pPr>
        <w:ind w:left="387" w:hanging="383"/>
        <w:spacing w:after="0"/>
        <w:tabs>
          <w:tab w:leader="none" w:pos="3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4"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92"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92" w:lineRule="exact"/>
        <w:rPr>
          <w:rFonts w:ascii="Times New Roman" w:cs="Times New Roman" w:eastAsia="Times New Roman" w:hAnsi="Times New Roman"/>
          <w:sz w:val="18"/>
          <w:szCs w:val="18"/>
          <w:color w:val="auto"/>
        </w:rPr>
      </w:pPr>
    </w:p>
    <w:p>
      <w:pPr>
        <w:ind w:left="807" w:right="320" w:hanging="429"/>
        <w:spacing w:after="0" w:line="282" w:lineRule="auto"/>
        <w:tabs>
          <w:tab w:leader="none" w:pos="8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29"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92"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92" w:lineRule="exact"/>
        <w:rPr>
          <w:rFonts w:ascii="Times New Roman" w:cs="Times New Roman" w:eastAsia="Times New Roman" w:hAnsi="Times New Roman"/>
          <w:sz w:val="18"/>
          <w:szCs w:val="18"/>
          <w:color w:val="auto"/>
        </w:rPr>
      </w:pPr>
    </w:p>
    <w:p>
      <w:pPr>
        <w:ind w:left="387" w:hanging="383"/>
        <w:spacing w:after="0"/>
        <w:tabs>
          <w:tab w:leader="none" w:pos="3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6" w:lineRule="exact"/>
        <w:rPr>
          <w:rFonts w:ascii="Times New Roman" w:cs="Times New Roman" w:eastAsia="Times New Roman" w:hAnsi="Times New Roman"/>
          <w:sz w:val="18"/>
          <w:szCs w:val="18"/>
          <w:color w:val="auto"/>
        </w:rPr>
      </w:pPr>
    </w:p>
    <w:p>
      <w:pPr>
        <w:ind w:left="387" w:hanging="383"/>
        <w:spacing w:after="0" w:line="260" w:lineRule="auto"/>
        <w:tabs>
          <w:tab w:leader="none" w:pos="3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92"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92"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92" w:lineRule="exact"/>
        <w:rPr>
          <w:rFonts w:ascii="Times New Roman" w:cs="Times New Roman" w:eastAsia="Times New Roman" w:hAnsi="Times New Roman"/>
          <w:sz w:val="18"/>
          <w:szCs w:val="18"/>
          <w:color w:val="auto"/>
        </w:rPr>
      </w:pPr>
    </w:p>
    <w:p>
      <w:pPr>
        <w:ind w:left="807" w:hanging="429"/>
        <w:spacing w:after="0"/>
        <w:tabs>
          <w:tab w:leader="none" w:pos="8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-3086100</wp:posOffset>
            </wp:positionV>
            <wp:extent cx="5591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-2769235</wp:posOffset>
            </wp:positionV>
            <wp:extent cx="5591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-2314575</wp:posOffset>
            </wp:positionV>
            <wp:extent cx="5591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-1997075</wp:posOffset>
            </wp:positionV>
            <wp:extent cx="5591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-1680210</wp:posOffset>
            </wp:positionV>
            <wp:extent cx="5591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-779780</wp:posOffset>
            </wp:positionV>
            <wp:extent cx="5591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-462280</wp:posOffset>
            </wp:positionV>
            <wp:extent cx="5591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-144780</wp:posOffset>
            </wp:positionV>
            <wp:extent cx="5591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172085</wp:posOffset>
            </wp:positionV>
            <wp:extent cx="5591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7" w:right="160"/>
        <w:spacing w:after="0" w:line="255" w:lineRule="auto"/>
        <w:rPr>
          <w:sz w:val="20"/>
          <w:szCs w:val="20"/>
          <w:color w:val="auto"/>
        </w:rPr>
      </w:pPr>
      <w:r>
        <w:rPr>
          <w:rFonts w:ascii="Times New Roman" w:cs="Times New Roman" w:eastAsia="Times New Roman" w:hAnsi="Times New Roman"/>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6071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163830</wp:posOffset>
            </wp:positionV>
            <wp:extent cx="60718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472440</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87"/>
          </w:cols>
          <w:pgMar w:left="1173" w:top="236" w:right="1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IONIS PHARMACEUTICALS,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2855 Gazelle Court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Carlsbad, CA 92010</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2018 ANNUAL MEETING OF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7"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18"/>
          <w:szCs w:val="18"/>
          <w:color w:val="auto"/>
        </w:rPr>
        <w:t>I am pleased to invite you to Ionis Pharmaceuticals, Inc.’s 2018 Annual Meeting of Stockholders. We will host the meeting at our offices in Carlsbad, California on Wednesday, May 23, 2018, at 2:00 p.m. Pacific Time. This booklet includes the agenda for this year’s Annual Meeting and the Proxy Statement. We will cover the formal items on the agenda during the Annual Meeting. Following the formal Annual Meeting, we will review the major developments of the past year and our plans for 2018, and answer your questions. The Proxy Statement explains the matters we will discuss in the meeting and provides additional information about us.</w:t>
      </w:r>
    </w:p>
    <w:p>
      <w:pPr>
        <w:spacing w:after="0" w:line="80"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Your vote is very important. Whether or not you plan to attend the meeting, please be sure to vote your shares as soon as possible to ensure your representation at the meeting. We are distributing our proxy materials under a Securities and Exchange Commission rule that allows us to furnish proxy materials to our stockholders over the Internet rather than in paper form. We believe this method of distribution reduces our environmental impact and costs without hindering our stockholders’ timely access to such important material. As a result, if you are a stockholder of record (that is, if your stock is registered with us in your own name) you will receive a Notice Regarding the Availability of Proxy Materials in the mail, which contains instructions on how to access our proxy materials and vote electronically through the Internet or to request printed proxy materials so you may vote by telephone or mail.</w:t>
      </w:r>
    </w:p>
    <w:p>
      <w:pPr>
        <w:spacing w:after="0" w:line="77"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If your shares are registered in the name of a broker or other nominee, that nominee will forward the Notice Regarding the Availability of Proxy Materials to you and you can direct that nominee to vote your shares. Alternatively, if your nominee participates in a program provided through Broadridge Financial Solutions, Inc. that allows you to vote by telephone or through the Internet, your nominee will send you a voting form with telephone and Internet voting instructions.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If you plan to attend the meeting and prefer to vote in person, you may still do so even if you have already returned your proxy.</w:t>
      </w:r>
    </w:p>
    <w:p>
      <w:pPr>
        <w:spacing w:after="0" w:line="125" w:lineRule="exact"/>
        <w:rPr>
          <w:sz w:val="20"/>
          <w:szCs w:val="20"/>
          <w:color w:val="auto"/>
        </w:rPr>
      </w:pPr>
    </w:p>
    <w:p>
      <w:pPr>
        <w:jc w:val="both"/>
        <w:ind w:right="20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PLEASE NOTE, HOWEVER, THAT IF A BROKER, BANK OR OTHER NOMINEE HOLDS YOUR SHARES OF RECORD AND YOU WISH TO VOTE AT THE MEETING, </w:t>
      </w:r>
      <w:r>
        <w:rPr>
          <w:rFonts w:ascii="Times New Roman" w:cs="Times New Roman" w:eastAsia="Times New Roman" w:hAnsi="Times New Roman"/>
          <w:sz w:val="18"/>
          <w:szCs w:val="18"/>
          <w:b w:val="1"/>
          <w:bCs w:val="1"/>
          <w:i w:val="1"/>
          <w:iCs w:val="1"/>
          <w:u w:val="single" w:color="auto"/>
          <w:color w:val="auto"/>
        </w:rPr>
        <w:t>YOU MUST OBTAIN A PROXY ISSUED IN YOUR NAME</w:t>
      </w:r>
      <w:r>
        <w:rPr>
          <w:rFonts w:ascii="Times New Roman" w:cs="Times New Roman" w:eastAsia="Times New Roman" w:hAnsi="Times New Roman"/>
          <w:sz w:val="18"/>
          <w:szCs w:val="18"/>
          <w:b w:val="1"/>
          <w:bCs w:val="1"/>
          <w:color w:val="auto"/>
        </w:rPr>
        <w:t xml:space="preserve"> FROM THE BROKER, BANK OR OTHER NOMINEE.</w:t>
      </w:r>
    </w:p>
    <w:p>
      <w:pPr>
        <w:spacing w:after="0" w:line="67" w:lineRule="exact"/>
        <w:rPr>
          <w:sz w:val="20"/>
          <w:szCs w:val="20"/>
          <w:color w:val="auto"/>
        </w:rPr>
      </w:pPr>
    </w:p>
    <w:p>
      <w:pPr>
        <w:ind w:right="360" w:firstLine="360"/>
        <w:spacing w:after="0" w:line="282" w:lineRule="auto"/>
        <w:rPr>
          <w:sz w:val="20"/>
          <w:szCs w:val="20"/>
          <w:color w:val="auto"/>
        </w:rPr>
      </w:pPr>
      <w:r>
        <w:rPr>
          <w:rFonts w:ascii="Times New Roman" w:cs="Times New Roman" w:eastAsia="Times New Roman" w:hAnsi="Times New Roman"/>
          <w:sz w:val="18"/>
          <w:szCs w:val="18"/>
          <w:color w:val="auto"/>
        </w:rPr>
        <w:t>In this document, unless the context requires otherwise, the words “Ionis,” “Company,” “we,” “our” and “us” refer only to Ionis Pharmaceuticals, Inc. and its subsidiaries and not to any other person or entity.</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look forward to seeing you at the meeting.</w:t>
      </w:r>
    </w:p>
    <w:p>
      <w:pPr>
        <w:spacing w:after="0" w:line="1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Sincerely,</w:t>
      </w:r>
    </w:p>
    <w:p>
      <w:pPr>
        <w:spacing w:after="0" w:line="33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Patrick R. O’Neil</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7" w:right="1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IONIS PHARMACEUTICALS,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2855 Gazelle Court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Carlsbad, CA 92010</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2018 ANNUAL MEETING OF STOCKHOLDERS</w:t>
      </w:r>
    </w:p>
    <w:p>
      <w:pPr>
        <w:spacing w:after="0" w:line="81" w:lineRule="exact"/>
        <w:rPr>
          <w:sz w:val="20"/>
          <w:szCs w:val="20"/>
          <w:color w:val="auto"/>
        </w:rPr>
      </w:pPr>
    </w:p>
    <w:p>
      <w:pPr>
        <w:ind w:left="2680"/>
        <w:spacing w:after="0"/>
        <w:tabs>
          <w:tab w:leader="none" w:pos="3560" w:val="left"/>
        </w:tabs>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Wednesday, May 23, 2018</w:t>
      </w:r>
    </w:p>
    <w:p>
      <w:pPr>
        <w:spacing w:after="0" w:line="36" w:lineRule="exact"/>
        <w:rPr>
          <w:sz w:val="20"/>
          <w:szCs w:val="20"/>
          <w:color w:val="auto"/>
        </w:rPr>
      </w:pPr>
    </w:p>
    <w:p>
      <w:pPr>
        <w:ind w:left="2680"/>
        <w:spacing w:after="0"/>
        <w:tabs>
          <w:tab w:leader="none" w:pos="3560" w:val="left"/>
        </w:tabs>
        <w:rPr>
          <w:sz w:val="20"/>
          <w:szCs w:val="20"/>
          <w:color w:val="auto"/>
        </w:rPr>
      </w:pP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2:00 p.m., Pacific Time</w:t>
      </w:r>
    </w:p>
    <w:p>
      <w:pPr>
        <w:spacing w:after="0" w:line="36" w:lineRule="exact"/>
        <w:rPr>
          <w:sz w:val="20"/>
          <w:szCs w:val="20"/>
          <w:color w:val="auto"/>
        </w:rPr>
      </w:pPr>
    </w:p>
    <w:p>
      <w:pPr>
        <w:ind w:left="2680"/>
        <w:spacing w:after="0"/>
        <w:tabs>
          <w:tab w:leader="none" w:pos="3560" w:val="left"/>
        </w:tabs>
        <w:rPr>
          <w:sz w:val="20"/>
          <w:szCs w:val="20"/>
          <w:color w:val="auto"/>
        </w:rPr>
      </w:pPr>
      <w:r>
        <w:rPr>
          <w:rFonts w:ascii="Times New Roman" w:cs="Times New Roman" w:eastAsia="Times New Roman" w:hAnsi="Times New Roman"/>
          <w:sz w:val="18"/>
          <w:szCs w:val="18"/>
          <w:u w:val="single" w:color="auto"/>
          <w:color w:val="auto"/>
        </w:rPr>
        <w:t>Place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Ionis Pharmaceuticals, Inc.</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2855 Gazelle Court</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Carlsbad, CA 92010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 our 2018 Annual Meeting of Stockholders, we will ask you to:</w:t>
      </w:r>
    </w:p>
    <w:p>
      <w:pPr>
        <w:spacing w:after="0" w:line="77" w:lineRule="exact"/>
        <w:rPr>
          <w:sz w:val="20"/>
          <w:szCs w:val="20"/>
          <w:color w:val="auto"/>
        </w:rPr>
      </w:pPr>
    </w:p>
    <w:p>
      <w:pPr>
        <w:ind w:left="660" w:hanging="284"/>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elect Frederick T. Muto and Breaux B. Castleman to serve as Directors for a three-year term;</w:t>
      </w:r>
    </w:p>
    <w:p>
      <w:pPr>
        <w:spacing w:after="0" w:line="36" w:lineRule="exact"/>
        <w:rPr>
          <w:rFonts w:ascii="Times New Roman" w:cs="Times New Roman" w:eastAsia="Times New Roman" w:hAnsi="Times New Roman"/>
          <w:sz w:val="18"/>
          <w:szCs w:val="18"/>
          <w:color w:val="auto"/>
        </w:rPr>
      </w:pPr>
    </w:p>
    <w:p>
      <w:pPr>
        <w:ind w:left="660" w:hanging="284"/>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:make an advisory vote on executive compensation; and</w:t>
      </w:r>
    </w:p>
    <w:p>
      <w:pPr>
        <w:spacing w:after="0" w:line="36" w:lineRule="exact"/>
        <w:rPr>
          <w:rFonts w:ascii="Times New Roman" w:cs="Times New Roman" w:eastAsia="Times New Roman" w:hAnsi="Times New Roman"/>
          <w:sz w:val="18"/>
          <w:szCs w:val="18"/>
          <w:color w:val="auto"/>
        </w:rPr>
      </w:pPr>
    </w:p>
    <w:p>
      <w:pPr>
        <w:ind w:left="1840" w:right="540" w:hanging="1464"/>
        <w:spacing w:after="0" w:line="266"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:ratify the Audit Committee’s selection of Ernst &amp; Young LLP as independent auditors for our 2018 fiscal year.</w:t>
      </w:r>
    </w:p>
    <w:p>
      <w:pPr>
        <w:ind w:left="660" w:hanging="284"/>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any other business that may be properly presented at the Annual Meeting.</w:t>
      </w:r>
    </w:p>
    <w:p>
      <w:pPr>
        <w:spacing w:after="0" w:line="131" w:lineRule="exact"/>
        <w:rPr>
          <w:sz w:val="20"/>
          <w:szCs w:val="20"/>
          <w:color w:val="auto"/>
        </w:rPr>
      </w:pPr>
    </w:p>
    <w:p>
      <w:pPr>
        <w:ind w:right="80" w:firstLine="360"/>
        <w:spacing w:after="0" w:line="282"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enclosed Proxy Statement. If you were an Ionis stockholder of record at the close of business on March 26, 2018 you may vote at the Annual Meeting.</w:t>
      </w:r>
    </w:p>
    <w:p>
      <w:pPr>
        <w:spacing w:after="0" w:line="5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3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Patrick R. O’Neil</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Carlsbad,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2018</w:t>
      </w:r>
    </w:p>
    <w:p>
      <w:pPr>
        <w:spacing w:after="0" w:line="20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b w:val="1"/>
          <w:bCs w:val="1"/>
          <w:color w:val="auto"/>
        </w:rPr>
        <w:t>ALL STOCKHOLDERS ARE CORDIALLY INVITED TO ATTEND THE MEETING IN PERSON. WHETHER OR NOT YOU EXPECT TO ATTEND THE MEETING, PLEASE VOTE BY TELEPHONE OR INTERNET BY FOLLOWING THE INSTRUCTIONS INCLUDED IN THIS PROXY STATEMENT AND YOUR NOTICE REGARDING THE AVAILABILITY OF PROXY MATERIALS OR PROXY CARD. ALTERNATIVELY, YOU MAY REQUEST A WRITTEN PROXY STATEMENT, AND COMPLETE, DATE, SIGN AND RETURN YOUR PROXY AS PROMPTLY AS POSSIBLE TO ENSURE YOUR REPRESENTATION AT THE MEETING. IF YOU RECEIVE YOUR PROXY MATERIALS BY MAIL, WE WILL INCLUDE A RETURN ENVELOPE (WHICH IS POSTAGE PREPAID IF MAILED IN THE UNITED STATES) FOR THAT PURPOSE. EVEN IF YOU HAVE GIVEN YOUR PROXY, YOU MAY STILL VOTE IN PERSON IF YOU ATTEND THE MEETING. PLEASE NOTE, HOWEVER, THAT IF YOUR SHARES ARE HELD OF RECORD BY A BROKER, BANK OR OTHER NOMINEE AND YOU WISH TO VOTE AT THE MEETING, YOU MUST OBTAIN FROM THE BROKER, BANK OR OTHER NOMINEE A PROXY ISSUED IN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7" w:right="1199" w:bottom="1440" w:gutter="0" w:footer="0" w:header="0"/>
        </w:sectPr>
      </w:pPr>
    </w:p>
    <w:bookmarkStart w:id="3" w:name="page4"/>
    <w:bookmarkEnd w:id="3"/>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IONIS PHARMACEUTICALS, INC.</w:t>
      </w:r>
    </w:p>
    <w:p>
      <w:pPr>
        <w:jc w:val="center"/>
        <w:ind w:right="-6"/>
        <w:spacing w:after="0" w:line="226" w:lineRule="auto"/>
        <w:rPr>
          <w:sz w:val="20"/>
          <w:szCs w:val="20"/>
          <w:color w:val="auto"/>
        </w:rPr>
      </w:pPr>
      <w:r>
        <w:rPr>
          <w:rFonts w:ascii="Times New Roman" w:cs="Times New Roman" w:eastAsia="Times New Roman" w:hAnsi="Times New Roman"/>
          <w:sz w:val="18"/>
          <w:szCs w:val="18"/>
          <w:b w:val="1"/>
          <w:bCs w:val="1"/>
          <w:color w:val="auto"/>
        </w:rPr>
        <w:t>2855 Gazelle Court</w:t>
      </w: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Carlsbad, CA 92010</w:t>
      </w:r>
    </w:p>
    <w:p>
      <w:pPr>
        <w:spacing w:after="0" w:line="18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ind w:left="1407"/>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ind w:left="7" w:firstLine="360"/>
        <w:spacing w:after="0" w:line="254" w:lineRule="auto"/>
        <w:rPr>
          <w:sz w:val="20"/>
          <w:szCs w:val="20"/>
          <w:color w:val="auto"/>
        </w:rPr>
      </w:pPr>
      <w:r>
        <w:rPr>
          <w:rFonts w:ascii="Times New Roman" w:cs="Times New Roman" w:eastAsia="Times New Roman" w:hAnsi="Times New Roman"/>
          <w:sz w:val="18"/>
          <w:szCs w:val="18"/>
          <w:color w:val="auto"/>
        </w:rPr>
        <w:t>Ionis’ Board of Directors (the “Board”) is soliciting your proxy to vote at the 2018 Annual Meeting of Stockholders, including at any adjournments or postponements of the meeting. We are distributing our Notice of Annual Meeting and Proxy Materials (the “Notice”) by mail using the Notice and Access procedures established by the United States Securities and Exchange Commission (the “SEC”). The Notice is important because it contains a control number and instructions that will allow you to access our proxy materials and vote electronically through the Internet or to request printed proxy materials so you may vote by telephone or mail. Your vote is very important. Whether or not you plan to attend the meeting, please be sure to vote your shares as soon as possible to ensure your representation at the meeting. All stockholders will have the ability to access the proxy materials on the website referred to in the Notice or request to receive a printed set of the proxy materials. You can find instructions on how to access the proxy materials over the Internet or to request a printed copy in the Notice.</w:t>
      </w:r>
    </w:p>
    <w:p>
      <w:pPr>
        <w:spacing w:after="0" w:line="81"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We intend to mail the Notice on or before April 13, 2018 to all stockholders of record entitled to vote at the Annual Meeting.</w:t>
      </w:r>
    </w:p>
    <w:p>
      <w:pPr>
        <w:spacing w:after="0" w:line="2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We may choose to send you a proxy card, along with a second Notice, on or after April 23, 2018.</w:t>
      </w:r>
    </w:p>
    <w:p>
      <w:pPr>
        <w:spacing w:after="0" w:line="2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Where and when is the Annual Meeting and how do I attend?</w:t>
      </w:r>
    </w:p>
    <w:p>
      <w:pPr>
        <w:spacing w:after="0" w:line="121" w:lineRule="exact"/>
        <w:rPr>
          <w:sz w:val="20"/>
          <w:szCs w:val="20"/>
          <w:color w:val="auto"/>
        </w:rPr>
      </w:pPr>
    </w:p>
    <w:p>
      <w:pPr>
        <w:jc w:val="both"/>
        <w:ind w:left="7" w:right="40" w:firstLine="360"/>
        <w:spacing w:after="0" w:line="220" w:lineRule="auto"/>
        <w:rPr>
          <w:sz w:val="20"/>
          <w:szCs w:val="20"/>
          <w:color w:val="auto"/>
        </w:rPr>
      </w:pPr>
      <w:r>
        <w:rPr>
          <w:rFonts w:ascii="Times New Roman" w:cs="Times New Roman" w:eastAsia="Times New Roman" w:hAnsi="Times New Roman"/>
          <w:sz w:val="18"/>
          <w:szCs w:val="18"/>
          <w:color w:val="auto"/>
        </w:rPr>
        <w:t xml:space="preserve">We will hold the meeting on Wednesday, May 23, 2018, at 2:00 p.m. Pacific Time at our offices located at 2855 Gazelle Court, Carlsbad, California 92010. You may find directions to the Annual Meeting at </w:t>
      </w:r>
      <w:r>
        <w:rPr>
          <w:rFonts w:ascii="Times New Roman" w:cs="Times New Roman" w:eastAsia="Times New Roman" w:hAnsi="Times New Roman"/>
          <w:sz w:val="18"/>
          <w:szCs w:val="18"/>
          <w:u w:val="single" w:color="auto"/>
          <w:color w:val="auto"/>
        </w:rPr>
        <w:t>www.ionispharma.com</w:t>
      </w:r>
      <w:r>
        <w:rPr>
          <w:rFonts w:ascii="Times New Roman" w:cs="Times New Roman" w:eastAsia="Times New Roman" w:hAnsi="Times New Roman"/>
          <w:sz w:val="18"/>
          <w:szCs w:val="18"/>
          <w:color w:val="auto"/>
        </w:rPr>
        <w:t>.</w:t>
      </w:r>
      <w:r>
        <w:rPr>
          <w:rFonts w:ascii="Times New Roman" w:cs="Times New Roman" w:eastAsia="Times New Roman" w:hAnsi="Times New Roman"/>
          <w:sz w:val="27"/>
          <w:szCs w:val="27"/>
          <w:u w:val="single" w:color="auto"/>
          <w:color w:val="0000EE"/>
          <w:vertAlign w:val="superscript"/>
        </w:rPr>
        <w:t>1</w:t>
      </w:r>
      <w:r>
        <w:rPr>
          <w:rFonts w:ascii="Times New Roman" w:cs="Times New Roman" w:eastAsia="Times New Roman" w:hAnsi="Times New Roman"/>
          <w:sz w:val="18"/>
          <w:szCs w:val="18"/>
          <w:color w:val="auto"/>
        </w:rPr>
        <w:t xml:space="preserve"> We discuss information on how to vote in person at the Annual Meeting below.</w:t>
      </w:r>
    </w:p>
    <w:p>
      <w:pPr>
        <w:spacing w:after="0" w:line="92" w:lineRule="exact"/>
        <w:rPr>
          <w:sz w:val="20"/>
          <w:szCs w:val="20"/>
          <w:color w:val="auto"/>
        </w:rPr>
      </w:pPr>
    </w:p>
    <w:p>
      <w:pPr>
        <w:ind w:left="7" w:right="80" w:firstLine="360"/>
        <w:spacing w:after="0" w:line="259" w:lineRule="auto"/>
        <w:rPr>
          <w:sz w:val="20"/>
          <w:szCs w:val="20"/>
          <w:color w:val="auto"/>
        </w:rPr>
      </w:pPr>
      <w:r>
        <w:rPr>
          <w:rFonts w:ascii="Times New Roman" w:cs="Times New Roman" w:eastAsia="Times New Roman" w:hAnsi="Times New Roman"/>
          <w:sz w:val="18"/>
          <w:szCs w:val="18"/>
          <w:color w:val="auto"/>
        </w:rPr>
        <w:t xml:space="preserve">If you cannot attend, please note that we will make a webcast of the presentation that follows the Annual Meeting available on the day of the meeting and for a limited time following the meeting at </w:t>
      </w:r>
      <w:r>
        <w:rPr>
          <w:rFonts w:ascii="Times New Roman" w:cs="Times New Roman" w:eastAsia="Times New Roman" w:hAnsi="Times New Roman"/>
          <w:sz w:val="18"/>
          <w:szCs w:val="18"/>
          <w:u w:val="single" w:color="auto"/>
          <w:color w:val="auto"/>
        </w:rPr>
        <w:t>www.ionispharma.com</w:t>
      </w:r>
      <w:r>
        <w:rPr>
          <w:rFonts w:ascii="Times New Roman" w:cs="Times New Roman" w:eastAsia="Times New Roman" w:hAnsi="Times New Roman"/>
          <w:sz w:val="18"/>
          <w:szCs w:val="18"/>
          <w:color w:val="auto"/>
        </w:rPr>
        <w:t>.</w:t>
      </w:r>
      <w:r>
        <w:rPr>
          <w:rFonts w:ascii="Times New Roman" w:cs="Times New Roman" w:eastAsia="Times New Roman" w:hAnsi="Times New Roman"/>
          <w:sz w:val="27"/>
          <w:szCs w:val="27"/>
          <w:color w:val="auto"/>
          <w:vertAlign w:val="superscript"/>
        </w:rPr>
        <w:t>1</w:t>
      </w:r>
    </w:p>
    <w:p>
      <w:pPr>
        <w:spacing w:after="0" w:line="2"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7"/>
          <w:szCs w:val="17"/>
          <w:color w:val="auto"/>
        </w:rPr>
        <w:t>If you plan to attend the meeting and prefer to vote in person, you may still do so even if you have already returned your proxy.</w:t>
      </w:r>
    </w:p>
    <w:p>
      <w:pPr>
        <w:spacing w:after="0" w:line="2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7" w:right="180" w:firstLine="36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26, 2018 may vote at the Annual Meeting. On this record date, there were 125,441,857 shares of common stock outstanding and entitled to vote.</w:t>
      </w:r>
    </w:p>
    <w:p>
      <w:pPr>
        <w:spacing w:after="0" w:line="160"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7" w:right="120" w:firstLine="360"/>
        <w:spacing w:after="0" w:line="258" w:lineRule="auto"/>
        <w:rPr>
          <w:sz w:val="20"/>
          <w:szCs w:val="20"/>
          <w:color w:val="auto"/>
        </w:rPr>
      </w:pPr>
      <w:r>
        <w:rPr>
          <w:rFonts w:ascii="Times New Roman" w:cs="Times New Roman" w:eastAsia="Times New Roman" w:hAnsi="Times New Roman"/>
          <w:sz w:val="18"/>
          <w:szCs w:val="18"/>
          <w:color w:val="auto"/>
        </w:rPr>
        <w:t>If on March 26, 2018 your shares were registered directly in your name with our transfer agent, American Stock Transfer &amp; Trust Company, then you are a stockholder of record. As a stockholder of record, you may vote in person at the meeting or vote by proxy over the telephone, by mail, or the Internet as instructed under the section below titled “How do I vote?” Whether or not you plan to attend the meeting, we urge you to fill out and return the proxy card or vote over the telephone or Internet to ensure your vote is counted.</w:t>
      </w:r>
    </w:p>
    <w:p>
      <w:pPr>
        <w:spacing w:after="0" w:line="182"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left="7" w:firstLine="360"/>
        <w:spacing w:after="0" w:line="266" w:lineRule="auto"/>
        <w:rPr>
          <w:sz w:val="20"/>
          <w:szCs w:val="20"/>
          <w:color w:val="auto"/>
        </w:rPr>
      </w:pPr>
      <w:r>
        <w:rPr>
          <w:rFonts w:ascii="Times New Roman" w:cs="Times New Roman" w:eastAsia="Times New Roman" w:hAnsi="Times New Roman"/>
          <w:sz w:val="18"/>
          <w:szCs w:val="18"/>
          <w:color w:val="auto"/>
        </w:rPr>
        <w:t>If on March 26, 2018 you did not own shares in your name, but rather in an account at a brokerage firm, bank, dealer or other similar organization, then you are the beneficial owner of shares held in “street name” and that organization is forwarding the Notice to you. The organization holding your account is the stockholder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909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46" w:lineRule="exact"/>
        <w:rPr>
          <w:sz w:val="20"/>
          <w:szCs w:val="20"/>
          <w:color w:val="auto"/>
        </w:rPr>
      </w:pPr>
    </w:p>
    <w:p>
      <w:pPr>
        <w:ind w:left="167" w:right="80" w:hanging="167"/>
        <w:spacing w:after="0" w:line="182" w:lineRule="auto"/>
        <w:tabs>
          <w:tab w:leader="none" w:pos="167" w:val="left"/>
        </w:tabs>
        <w:numPr>
          <w:ilvl w:val="0"/>
          <w:numId w:val="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Any information that is included on or linked to our website is not part of this Proxy Statement or any registration statement or report that incorporates this Proxy Statement by reference.</w:t>
      </w:r>
    </w:p>
    <w:p>
      <w:pPr>
        <w:spacing w:after="0" w:line="18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7" w:right="11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record for purposes of voting at the Annual Meeting. As a beneficial owner, you may direct your broker or other agent regarding how to vote the shares in your account. If your shares are registered in the name of a broker or other nominee, your nominee may be participating in a program provided through Broadridge Financial Solutions, Inc. (“Broadridge”) that also allows you to vote by telephone or through the Internet. If so, the voting form your nominee sends you will provide telephone and Internet instructions. You are also invited to attend the Annual Meeting in person.</w:t>
      </w:r>
    </w:p>
    <w:p>
      <w:pPr>
        <w:spacing w:after="0" w:line="72" w:lineRule="exact"/>
        <w:rPr>
          <w:sz w:val="20"/>
          <w:szCs w:val="20"/>
          <w:color w:val="auto"/>
        </w:rPr>
      </w:pPr>
    </w:p>
    <w:p>
      <w:pPr>
        <w:jc w:val="both"/>
        <w:ind w:right="24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PLEASE NOTE, HOWEVER, THAT IF A BROKER, BANK OR OTHER NOMINEE HOLDS YOUR SHARES OF RECORD AND YOU WISH TO VOTE AT THE MEETING, </w:t>
      </w:r>
      <w:r>
        <w:rPr>
          <w:rFonts w:ascii="Times New Roman" w:cs="Times New Roman" w:eastAsia="Times New Roman" w:hAnsi="Times New Roman"/>
          <w:sz w:val="18"/>
          <w:szCs w:val="18"/>
          <w:b w:val="1"/>
          <w:bCs w:val="1"/>
          <w:i w:val="1"/>
          <w:iCs w:val="1"/>
          <w:u w:val="single" w:color="auto"/>
          <w:color w:val="auto"/>
        </w:rPr>
        <w:t>YOU MUST OBTAIN A PROXY ISSUED IN YOUR NAME</w:t>
      </w:r>
      <w:r>
        <w:rPr>
          <w:rFonts w:ascii="Times New Roman" w:cs="Times New Roman" w:eastAsia="Times New Roman" w:hAnsi="Times New Roman"/>
          <w:sz w:val="18"/>
          <w:szCs w:val="18"/>
          <w:b w:val="1"/>
          <w:bCs w:val="1"/>
          <w:color w:val="auto"/>
        </w:rPr>
        <w:t xml:space="preserve"> FROM THE BROKER, BANK OR OTHER NOMINEE.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pacing w:after="0" w:line="77" w:lineRule="exact"/>
        <w:rPr>
          <w:sz w:val="20"/>
          <w:szCs w:val="20"/>
          <w:color w:val="auto"/>
        </w:rPr>
      </w:pPr>
    </w:p>
    <w:p>
      <w:pPr>
        <w:ind w:left="660" w:hanging="28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elect Frederick T. Muto and Breaux B. Castleman to serve as Directors for a three-year term;</w:t>
      </w:r>
    </w:p>
    <w:p>
      <w:pPr>
        <w:spacing w:after="0" w:line="36" w:lineRule="exact"/>
        <w:rPr>
          <w:rFonts w:ascii="Times New Roman" w:cs="Times New Roman" w:eastAsia="Times New Roman" w:hAnsi="Times New Roman"/>
          <w:sz w:val="18"/>
          <w:szCs w:val="18"/>
          <w:color w:val="auto"/>
        </w:rPr>
      </w:pPr>
    </w:p>
    <w:p>
      <w:pPr>
        <w:ind w:left="660" w:hanging="28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:make an advisory vote on executive compensation; and</w:t>
      </w:r>
    </w:p>
    <w:p>
      <w:pPr>
        <w:spacing w:after="0" w:line="36" w:lineRule="exact"/>
        <w:rPr>
          <w:rFonts w:ascii="Times New Roman" w:cs="Times New Roman" w:eastAsia="Times New Roman" w:hAnsi="Times New Roman"/>
          <w:sz w:val="18"/>
          <w:szCs w:val="18"/>
          <w:color w:val="auto"/>
        </w:rPr>
      </w:pPr>
    </w:p>
    <w:p>
      <w:pPr>
        <w:ind w:left="1840" w:right="580" w:hanging="1464"/>
        <w:spacing w:after="0" w:line="282" w:lineRule="auto"/>
        <w:tabs>
          <w:tab w:leader="none" w:pos="6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:ratify the Audit Committee’s selection of Ernst &amp; Young LLP as independent auditors for our 2018 fiscal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jc w:val="both"/>
        <w:ind w:right="220" w:firstLine="360"/>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the persons named in the accompanying proxy intend to vote on those matters in accordance with their best judgment.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 may vote in one of the following ways:</w:t>
      </w:r>
    </w:p>
    <w:p>
      <w:pPr>
        <w:spacing w:after="0" w:line="117" w:lineRule="exact"/>
        <w:rPr>
          <w:sz w:val="20"/>
          <w:szCs w:val="20"/>
          <w:color w:val="auto"/>
        </w:rPr>
      </w:pPr>
    </w:p>
    <w:p>
      <w:pPr>
        <w:ind w:left="700" w:hanging="356"/>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through the Internet by following the instructions included with your Notice or proxy card;</w:t>
      </w:r>
    </w:p>
    <w:p>
      <w:pPr>
        <w:spacing w:after="0" w:line="117" w:lineRule="exact"/>
        <w:rPr>
          <w:rFonts w:ascii="Times New Roman" w:cs="Times New Roman" w:eastAsia="Times New Roman" w:hAnsi="Times New Roman"/>
          <w:sz w:val="18"/>
          <w:szCs w:val="18"/>
          <w:color w:val="auto"/>
        </w:rPr>
      </w:pPr>
    </w:p>
    <w:p>
      <w:pPr>
        <w:ind w:left="700" w:right="560" w:hanging="356"/>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telephone by following the instructions included with your proxy card if you have received proxy materials electronically or by mail;</w:t>
      </w:r>
    </w:p>
    <w:p>
      <w:pPr>
        <w:spacing w:after="0" w:line="53"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mail by completing, signing, dating and returning your proxy card in the postage paid envelope provided; or</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person by attending the Annual Meeting.</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For Shares Registered in Your Name:</w:t>
      </w:r>
    </w:p>
    <w:p>
      <w:pPr>
        <w:spacing w:after="0" w:line="119"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 xml:space="preserve">If you are a stockholder of record, you may go to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to vote your shares through the Internet up until 11:59 P.M. Eastern Time on May 22, 2018. The votes represented by your proxy will be displayed on the computer screen and you will be prompted to submit or revise your votes as desired.</w:t>
      </w:r>
    </w:p>
    <w:p>
      <w:pPr>
        <w:spacing w:after="0" w:line="68"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To vote your shares by telephone, you must first request that we send proxy materials to you by following the instructions included in your Notice. Once you have received your proxy materials, you may vote using a touch-tone telephone by calling 1-800-690-6903 up until 11:59 P.M. Eastern Time on May 22, 2018 and following the recorded instructions. Please have your proxy card available at the time you vote.</w:t>
      </w:r>
    </w:p>
    <w:p>
      <w:pPr>
        <w:spacing w:after="0" w:line="72"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To vote using the proxy card, simply complete, sign and date the proxy card that may be delivered to you and return it promptly in the envelope provided. If you return your signed proxy card to us before the Annual Meeting, we will vote your shares as you direct.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For Shares Registered in the Name of a Broker or Bank:</w:t>
      </w:r>
    </w:p>
    <w:p>
      <w:pPr>
        <w:spacing w:after="0" w:line="119"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18"/>
          <w:szCs w:val="18"/>
          <w:color w:val="auto"/>
        </w:rPr>
        <w:t>If your broker or bank holds your shares in “street name,” you will need to obtain a proxy form from the institution that holds your shares and follow the instructions included on that form regarding how to instruct your broker to vote your shares. If you do not give instructions to your broker, your broker can vote your shares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respect to “discretionary” items, but not with respect to “non-discretionary” items. Discretionary items are proposals considered routine under the rules of the New York Stock Exchange (NYSE) on which a broker may vote shares held in street name in the absence of your voting instructions. While Ionis is listed with the Nasdaq Stock Market (Nasdaq), NYSE rules affect how brokers licensed by the NYSE can vote in a director election of any company, including companies listed with Nasdaq. The proposal to ratify Ernst &amp; Young LLP as independent auditors is a discretionary item. Proposals 1 and 2 regarding (1) the election of Directors, and (2) approval, on an advisory basis, of our executive compensation, are non-discretionary items. If you do not give your broker instructions for a non-discretionary item, the inspector of elections will treat your shares as broker non-votes.</w:t>
      </w:r>
    </w:p>
    <w:p>
      <w:pPr>
        <w:spacing w:after="0" w:line="81"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A number of brokers and banks are participating in a program provided by Broadridge which allows proxies to vote shares by means of the telephone and Internet. If your shares are held in an account with a broker or bank participating in the Broadridge program, you may vote your shares by telephone or through the Internet by having the voting form in hand and calling the number or going to the website indicated on the form and following the instructions.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121" w:lineRule="exact"/>
        <w:rPr>
          <w:sz w:val="20"/>
          <w:szCs w:val="20"/>
          <w:color w:val="auto"/>
        </w:rPr>
      </w:pPr>
    </w:p>
    <w:p>
      <w:pPr>
        <w:ind w:right="80" w:firstLine="360"/>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one of the individuals named on your proxy card will vote your shares as follows:</w:t>
      </w:r>
    </w:p>
    <w:p>
      <w:pPr>
        <w:spacing w:after="0" w:line="54" w:lineRule="exact"/>
        <w:rPr>
          <w:sz w:val="20"/>
          <w:szCs w:val="20"/>
          <w:color w:val="auto"/>
        </w:rPr>
      </w:pPr>
    </w:p>
    <w:p>
      <w:pPr>
        <w:ind w:left="700" w:hanging="356"/>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the nominees for Director named in the Proxy Statement;</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an advisory basis, of executive compensation; and</w:t>
      </w:r>
    </w:p>
    <w:p>
      <w:pPr>
        <w:spacing w:after="0" w:line="117" w:lineRule="exact"/>
        <w:rPr>
          <w:rFonts w:ascii="Times New Roman" w:cs="Times New Roman" w:eastAsia="Times New Roman" w:hAnsi="Times New Roman"/>
          <w:sz w:val="18"/>
          <w:szCs w:val="18"/>
          <w:color w:val="auto"/>
        </w:rPr>
      </w:pPr>
    </w:p>
    <w:p>
      <w:pPr>
        <w:ind w:left="700" w:right="380" w:hanging="356"/>
        <w:spacing w:after="0" w:line="28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Audit Committee’s selection of Ernst &amp; Young LLP as independent auditors for our 2018 fiscal year.</w:t>
      </w:r>
    </w:p>
    <w:p>
      <w:pPr>
        <w:spacing w:after="0" w:line="54" w:lineRule="exact"/>
        <w:rPr>
          <w:sz w:val="20"/>
          <w:szCs w:val="20"/>
          <w:color w:val="auto"/>
        </w:rPr>
      </w:pPr>
    </w:p>
    <w:p>
      <w:pPr>
        <w:ind w:right="60" w:firstLine="360"/>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meeting, one of the individuals named on your proxy card will vote your shares using his or her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right="160" w:firstLine="360"/>
        <w:spacing w:after="0" w:line="254" w:lineRule="auto"/>
        <w:rPr>
          <w:sz w:val="20"/>
          <w:szCs w:val="20"/>
          <w:color w:val="auto"/>
        </w:rPr>
      </w:pPr>
      <w:r>
        <w:rPr>
          <w:rFonts w:ascii="Times New Roman" w:cs="Times New Roman" w:eastAsia="Times New Roman" w:hAnsi="Times New Roman"/>
          <w:sz w:val="18"/>
          <w:szCs w:val="18"/>
          <w:color w:val="auto"/>
        </w:rPr>
        <w:t>Our Board is soliciting your proxy to vote at the Annual Meeting. We will bear the entire cost of soliciting proxies, including preparing, assembling, making available on the Internet and printing and mailing this Proxy Statement, the proxy card and any additional information furnished to stockholders. We will furnish copies of solicitation materials to banks, brokerage houses, fiduciaries and custodians holding our common stock in “street name” on behalf of beneficial owners of such shares. We may reimburse persons representing beneficial owners of our common stock for their costs of forwarding solicitation materials to such beneficial owners. Our Directors, officers or other employees may supplement original solicitation of proxies by telephone, electronic mail or personal solicitation. We will not pay our Directors, officers or employees any additional compensation for soliciting proxies. However, please be aware that you must bear any costs associated with your Internet service, such as usage charges from Internet access providers or telephone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18"/>
          <w:szCs w:val="18"/>
          <w:color w:val="auto"/>
        </w:rPr>
        <w:t xml:space="preserve">If you receive more than one Notice or proxy card, your shares are registered in more than one name or are registered in different accounts. Please complete, sign, date and return </w:t>
      </w:r>
      <w:r>
        <w:rPr>
          <w:rFonts w:ascii="Times New Roman" w:cs="Times New Roman" w:eastAsia="Times New Roman" w:hAnsi="Times New Roman"/>
          <w:sz w:val="18"/>
          <w:szCs w:val="18"/>
          <w:i w:val="1"/>
          <w:iCs w:val="1"/>
          <w:color w:val="auto"/>
        </w:rPr>
        <w:t>each</w:t>
      </w:r>
      <w:r>
        <w:rPr>
          <w:rFonts w:ascii="Times New Roman" w:cs="Times New Roman" w:eastAsia="Times New Roman" w:hAnsi="Times New Roman"/>
          <w:sz w:val="18"/>
          <w:szCs w:val="18"/>
          <w:color w:val="auto"/>
        </w:rPr>
        <w:t xml:space="preserve"> separate proxy card or vote by telephone or through the Internet by following the instructions included with </w:t>
      </w:r>
      <w:r>
        <w:rPr>
          <w:rFonts w:ascii="Times New Roman" w:cs="Times New Roman" w:eastAsia="Times New Roman" w:hAnsi="Times New Roman"/>
          <w:sz w:val="18"/>
          <w:szCs w:val="18"/>
          <w:i w:val="1"/>
          <w:iCs w:val="1"/>
          <w:color w:val="auto"/>
        </w:rPr>
        <w:t>each</w:t>
      </w:r>
      <w:r>
        <w:rPr>
          <w:rFonts w:ascii="Times New Roman" w:cs="Times New Roman" w:eastAsia="Times New Roman" w:hAnsi="Times New Roman"/>
          <w:sz w:val="18"/>
          <w:szCs w:val="18"/>
          <w:color w:val="auto"/>
        </w:rPr>
        <w:t xml:space="preserve"> Notice or proxy card to properly vote your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Yes. Once you have submitted your proxy by mail, Internet or telephone, you may revoke it at any time before we exercise it at the Annual Meeting. You may revoke your proxy by any one of the following four ways:</w:t>
      </w:r>
    </w:p>
    <w:p>
      <w:pPr>
        <w:spacing w:after="0" w:line="54" w:lineRule="exact"/>
        <w:rPr>
          <w:sz w:val="20"/>
          <w:szCs w:val="20"/>
          <w:color w:val="auto"/>
        </w:rPr>
      </w:pPr>
    </w:p>
    <w:p>
      <w:pPr>
        <w:ind w:left="700" w:hanging="356"/>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mail another proxy marked with a later date;</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revoke it through the Internet;</w:t>
      </w:r>
    </w:p>
    <w:p>
      <w:pPr>
        <w:spacing w:after="0" w:line="117" w:lineRule="exact"/>
        <w:rPr>
          <w:rFonts w:ascii="Times New Roman" w:cs="Times New Roman" w:eastAsia="Times New Roman" w:hAnsi="Times New Roman"/>
          <w:sz w:val="18"/>
          <w:szCs w:val="18"/>
          <w:color w:val="auto"/>
        </w:rPr>
      </w:pPr>
    </w:p>
    <w:p>
      <w:pPr>
        <w:ind w:left="700" w:right="60" w:hanging="356"/>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our corporate secretary in writing sent to 2855 Gazelle Court, Carlsbad, California 92010 that you wish to revoke your proxy before the Annual Meeting takes place; or</w:t>
      </w:r>
    </w:p>
    <w:p>
      <w:pPr>
        <w:spacing w:after="0" w:line="51"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vote in person at the Annual Meeting. </w:t>
      </w:r>
      <w:r>
        <w:rPr>
          <w:rFonts w:ascii="Times New Roman" w:cs="Times New Roman" w:eastAsia="Times New Roman" w:hAnsi="Times New Roman"/>
          <w:sz w:val="18"/>
          <w:szCs w:val="18"/>
          <w:i w:val="1"/>
          <w:iCs w:val="1"/>
          <w:color w:val="auto"/>
        </w:rPr>
        <w:t>Attendance</w:t>
      </w:r>
      <w:r>
        <w:rPr>
          <w:rFonts w:ascii="Times New Roman" w:cs="Times New Roman" w:eastAsia="Times New Roman" w:hAnsi="Times New Roman"/>
          <w:sz w:val="18"/>
          <w:szCs w:val="18"/>
          <w:color w:val="auto"/>
        </w:rPr>
        <w:t xml:space="preserve"> at the meeting </w:t>
      </w:r>
      <w:r>
        <w:rPr>
          <w:rFonts w:ascii="Times New Roman" w:cs="Times New Roman" w:eastAsia="Times New Roman" w:hAnsi="Times New Roman"/>
          <w:sz w:val="18"/>
          <w:szCs w:val="18"/>
          <w:i w:val="1"/>
          <w:iCs w:val="1"/>
          <w:color w:val="auto"/>
        </w:rPr>
        <w:t>will not</w:t>
      </w:r>
      <w:r>
        <w:rPr>
          <w:rFonts w:ascii="Times New Roman" w:cs="Times New Roman" w:eastAsia="Times New Roman" w:hAnsi="Times New Roman"/>
          <w:sz w:val="18"/>
          <w:szCs w:val="18"/>
          <w:color w:val="auto"/>
        </w:rPr>
        <w:t>, by itself, revoke a proxy.</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7" w:right="11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121"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If you have a proposal that you would like us to include in our Proxy Statement and form of proxy for, or to present at the 2019 Annual Meeting of Stockholders, you must send the proposal to us by no later than December 14, 2018. Stockholders wishing to submit proposals or Director nominations that are not to be included in such Proxy Statement and form of proxy must do so no later than the close of business on January 23, 2019. Stockholders should also review our bylaws, which contain additional requirements with respect to advance notice of stockholder proposals and Director nominations.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at the meeting if at least a majority of the outstanding shares are represented in person or by proxy. We will count your shares towards the quorum only if you submit a valid proxy vote or vote at the meeting. We will count abstentions and broker non-votes towards the quorum requirement.</w:t>
      </w:r>
    </w:p>
    <w:p>
      <w:pPr>
        <w:spacing w:after="0" w:line="68" w:lineRule="exact"/>
        <w:rPr>
          <w:sz w:val="20"/>
          <w:szCs w:val="20"/>
          <w:color w:val="auto"/>
        </w:rPr>
      </w:pPr>
    </w:p>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If there is no quorum, the holders of a majority of shares present at the meeting in person or represented by proxy may adjourn the meeting to another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Each share of our common stock you own entitles you to one vote. Your Notice and proxy card indicates the number of shares of our common stock you owned at the close of business on March 26, 2018. The inspector of elections will count votes for the meeting, and will separately count “For” and “Against” votes, abstentions, and broker non-votes. With respect to Proposal 1, the election of Directors, stockholders do not affirmatively vote “Against” nominees. Instead, if you do not want to elect a particular nominee, you should choose to “Withhold” a vote in favor of the applicable nominee for Director and the inspector of elections will count each “Withhold” for each nominee. Abstentions will have no effect on Proposal 1. Abstentions will count towards the vote total for Proposals 2 and 3, and in each case, will have the same effect as “Against” votes. Broker non-votes have no effect and the inspector of elections will not count them towards the vote total for any proposal.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or nominee holding the shares as to how to vote on matters deemed “non-routine.” If your broker holds your shares in “street name,” and you do not give instructions to your broker, your broker can vote your shares with respect to “discretionary” items, but not with respect to “non-discretionary” items. The proposal to ratify Ernst &amp; Young LLP as independent auditors is a discretionary item. Proposals 1 and 2 regarding (a) the election of Directors, and (b) approval, on an advisory basis, of our executive compensation, are non-discretionary items. If you do not give your broker instructions for a non-discretionary item, the inspector of elections will treat your unvoted shares as broker non-votes.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left="700" w:right="80" w:hanging="356"/>
        <w:spacing w:after="0" w:line="261"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For the election of Directors in an uncontested election, a Director nominee must receive a majority of the votes cast in person or by proxy in the election such that the number of shares voted “For” the nominee must exceed 50% of the votes cast with respect to that Director. Only “For” and “Withhold” votes will affect the outcome. Abstentions and broker non-votes will have no effect.</w:t>
      </w:r>
    </w:p>
    <w:p>
      <w:pPr>
        <w:spacing w:after="0" w:line="71" w:lineRule="exact"/>
        <w:rPr>
          <w:rFonts w:ascii="Times New Roman" w:cs="Times New Roman" w:eastAsia="Times New Roman" w:hAnsi="Times New Roman"/>
          <w:sz w:val="18"/>
          <w:szCs w:val="18"/>
          <w:color w:val="auto"/>
        </w:rPr>
      </w:pPr>
    </w:p>
    <w:p>
      <w:pPr>
        <w:ind w:left="700" w:right="80" w:hanging="356"/>
        <w:spacing w:after="0" w:line="261"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We will consider the advisory approval of the compensation of our executive officers to be approved if it receives “For” votes from the holders of a majority of shares either present in person or represented by proxy and entitled to vote on the matter. If you “Abstain” from voting, it will have the same effect as an “Against” vote. Broker non-votes will have no effect.</w:t>
      </w:r>
    </w:p>
    <w:p>
      <w:pPr>
        <w:spacing w:after="0" w:line="71" w:lineRule="exact"/>
        <w:rPr>
          <w:rFonts w:ascii="Times New Roman" w:cs="Times New Roman" w:eastAsia="Times New Roman" w:hAnsi="Times New Roman"/>
          <w:sz w:val="18"/>
          <w:szCs w:val="18"/>
          <w:color w:val="auto"/>
        </w:rPr>
      </w:pPr>
    </w:p>
    <w:p>
      <w:pPr>
        <w:ind w:left="700" w:right="300" w:hanging="356"/>
        <w:spacing w:after="0" w:line="26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To be approved, the ratification of the selection of Ernst &amp; Young LLP as our independent auditors for our 2018 fiscal year must receive “For” votes from the holders of a majority of shares present in person or by proxy and entitled to vote on the matter. If you “Abstain” from voting, it will have the same effect as an “Against” vote.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7" w:right="11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We will announce preliminary voting results at the Annual Meeting. In addition, we will publish final voting results in a current report on Form 8-K that we expect to file within four business days after the Annual Meeting. If final voting results are not available to us in time to file as part of a Form 8-K within four business days after the Annual Meeting, we intend to file a Form 8-K to publish preliminary results and, within four business days after we know the final results, file an additional Form 8-K to publish final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elect to receive materials for future Annual Meetings electronically?</w:t>
      </w:r>
    </w:p>
    <w:p>
      <w:pPr>
        <w:spacing w:after="0" w:line="121" w:lineRule="exact"/>
        <w:rPr>
          <w:sz w:val="20"/>
          <w:szCs w:val="20"/>
          <w:color w:val="auto"/>
        </w:rPr>
      </w:pPr>
    </w:p>
    <w:p>
      <w:pPr>
        <w:ind w:right="220" w:firstLine="360"/>
        <w:spacing w:after="0" w:line="282" w:lineRule="auto"/>
        <w:rPr>
          <w:sz w:val="20"/>
          <w:szCs w:val="20"/>
          <w:color w:val="auto"/>
        </w:rPr>
      </w:pPr>
      <w:r>
        <w:rPr>
          <w:rFonts w:ascii="Times New Roman" w:cs="Times New Roman" w:eastAsia="Times New Roman" w:hAnsi="Times New Roman"/>
          <w:sz w:val="18"/>
          <w:szCs w:val="18"/>
          <w:color w:val="auto"/>
        </w:rPr>
        <w:t>We are pleased to offer to our stockholders the benefits and convenience of electronic delivery of Annual Meeting materials, including:</w:t>
      </w:r>
    </w:p>
    <w:p>
      <w:pPr>
        <w:spacing w:after="0" w:line="54" w:lineRule="exact"/>
        <w:rPr>
          <w:sz w:val="20"/>
          <w:szCs w:val="20"/>
          <w:color w:val="auto"/>
        </w:rPr>
      </w:pPr>
    </w:p>
    <w:p>
      <w:pPr>
        <w:ind w:left="700" w:hanging="356"/>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the Proxy Statement, Annual Report on Form 10-K, and related materials by email to our stockholders;</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voting online;</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environment by decreasing the use of paper documents;</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amount of bulky documents stockholders receive; and</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our printing and mailing costs associated with more traditional delivery methods.</w:t>
      </w:r>
    </w:p>
    <w:p>
      <w:pPr>
        <w:spacing w:after="0" w:line="117" w:lineRule="exact"/>
        <w:rPr>
          <w:sz w:val="20"/>
          <w:szCs w:val="20"/>
          <w:color w:val="auto"/>
        </w:rPr>
      </w:pPr>
    </w:p>
    <w:p>
      <w:pPr>
        <w:ind w:right="100" w:firstLine="360"/>
        <w:spacing w:after="0" w:line="282" w:lineRule="auto"/>
        <w:rPr>
          <w:sz w:val="20"/>
          <w:szCs w:val="20"/>
          <w:color w:val="auto"/>
        </w:rPr>
      </w:pPr>
      <w:r>
        <w:rPr>
          <w:rFonts w:ascii="Times New Roman" w:cs="Times New Roman" w:eastAsia="Times New Roman" w:hAnsi="Times New Roman"/>
          <w:sz w:val="18"/>
          <w:szCs w:val="18"/>
          <w:color w:val="auto"/>
        </w:rPr>
        <w:t xml:space="preserve">We encourage you to conserve natural resources and to reduce printing and mailing costs by signing up for electronic delivery of our stockholder communications after you place your current vote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Board</w:t>
      </w:r>
    </w:p>
    <w:p>
      <w:pPr>
        <w:spacing w:after="0" w:line="121"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18"/>
          <w:szCs w:val="18"/>
          <w:color w:val="auto"/>
        </w:rPr>
        <w:t>The Board is divided into three classes. Presently, the Board has eight members with two classes consisting of three Directors each and one class consisting of two Directors. Each class serves a three-year term and we hold elections each year at the Annual Meeting to elect the Directors whose terms are expiring.</w:t>
      </w:r>
    </w:p>
    <w:p>
      <w:pPr>
        <w:spacing w:after="0" w:line="68"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In addition, the Board may elect a new Director to fill any vacant spot, including a vacancy caused by an increase in the size of the Board. However, the Board believes it is important for our stockholders to ratify any member of the Board whom the Board appoints. As a result, whenever the Board appoints a new member, the Board will submit such new member’s directorship for ratification at the next regularly scheduled Annual Meeting of Stockholders.</w:t>
      </w:r>
    </w:p>
    <w:p>
      <w:pPr>
        <w:spacing w:after="0" w:line="72"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The Board represents the interests of our stockholders by overseeing the Chief Executive Officer and other members of senior management in our operation. The Board’s goal is to optimize long-term value by providing guidance and strategic oversight to Ionis’ management on our stockholders’ behalf.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2018 Elections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Board has nominated two individuals for election at the Annual Meeting. Each of the nominees currently serves as one of our Directors. Mr. Muto and Mr. Castleman have each served as a Director since March 2001 and June 2013, respectively. Mr. Muto and Mr. Castleman have been re-elected by our stockholders each successive term. If re-elected, Mr. Muto and Mr. Castleman will serve until the 2021 Annual Meeting or, in each case, until his successor is elected and has qualified, or until his earlier death, resignation or removal.</w:t>
      </w:r>
    </w:p>
    <w:p>
      <w:pPr>
        <w:spacing w:after="0" w:line="76"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Our bylaws provide a majority vote standard for the election of directors in uncontested elections. In an uncontested election, the majority vote standard means that to be elected, a Director nominee must receive a majority of the votes cast in the election such that the number of shares voted “For” the nominee must exceed 50% of the votes cast with respect to that Director. The number of votes cast with respect to a Director’s election excludes abstentions and broker non-votes. In contested elections where the number of nominees exceeds the number of Directors to be elected, the vote standard will be a plurality of the shares present in person or by proxy and entitled to vote.</w:t>
      </w:r>
    </w:p>
    <w:p>
      <w:pPr>
        <w:spacing w:after="0" w:line="80"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If a nominee who already serves as a Director is not elected, and no successor is elected, the Director will offer to tender his resignation to the Board. The Nominating, Governance and Review Committee will make a recommendation to the Board on whether to accept or reject the resignation, or whether to take other action. The Board will act on the Nominating, Governance and Review Committee’s recommendation and publicly disclose its decision and the rationale behind it within 90 days from the date of the certification of the election results. The Director who tenders his or her resignation will not participate in the recommendation of the Nominating, Governance and Review Committee or in the Board’s decision. If a nominee’s failure to be elected at the Annual Meeting results in a vacancy on the Board, then the Board can fill the vacancy.</w:t>
      </w:r>
    </w:p>
    <w:p>
      <w:pPr>
        <w:spacing w:after="0" w:line="81" w:lineRule="exact"/>
        <w:rPr>
          <w:sz w:val="20"/>
          <w:szCs w:val="20"/>
          <w:color w:val="auto"/>
        </w:rPr>
      </w:pPr>
    </w:p>
    <w:p>
      <w:pPr>
        <w:ind w:right="60" w:firstLine="360"/>
        <w:spacing w:after="0" w:line="277" w:lineRule="auto"/>
        <w:rPr>
          <w:sz w:val="20"/>
          <w:szCs w:val="20"/>
          <w:color w:val="auto"/>
        </w:rPr>
      </w:pPr>
      <w:r>
        <w:rPr>
          <w:rFonts w:ascii="Times New Roman" w:cs="Times New Roman" w:eastAsia="Times New Roman" w:hAnsi="Times New Roman"/>
          <w:sz w:val="17"/>
          <w:szCs w:val="17"/>
          <w:color w:val="auto"/>
        </w:rPr>
        <w:t>The Nominating, Governance and Review Committee delivered its report to the Board on March 23, 2018. Following that report, the Board determined it would be in the best interests of Ionis and its stockholders to nominate Mr. Muto and Mr. Castleman to be elected as Directors at the Annual Meeting. We provide below a short biography for each nominee. Mr. Muto and Mr. Castleman have agreed to serve if elected, and we have no reason to believe that they cannot serve. However, if they cannot serve, we may vote your proxy for another nominee proposed by the Board, or the Board may reduce the number of authorized Directors.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9" w:name="page10"/>
    <w:bookmarkEnd w:id="9"/>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Biographies of the Nominees for Election for a Three-Year Term Expiring at the 2021 Annual Meeting</w:t>
      </w:r>
    </w:p>
    <w:p>
      <w:pPr>
        <w:spacing w:after="0" w:line="113" w:lineRule="exact"/>
        <w:rPr>
          <w:sz w:val="20"/>
          <w:szCs w:val="20"/>
          <w:color w:val="auto"/>
        </w:rPr>
      </w:pPr>
    </w:p>
    <w:p>
      <w:pPr>
        <w:jc w:val="both"/>
        <w:ind w:left="7" w:right="120" w:firstLine="360"/>
        <w:spacing w:after="0" w:line="223" w:lineRule="auto"/>
        <w:rPr>
          <w:sz w:val="20"/>
          <w:szCs w:val="20"/>
          <w:color w:val="auto"/>
        </w:rPr>
      </w:pPr>
      <w:r>
        <w:rPr>
          <w:rFonts w:ascii="Times New Roman" w:cs="Times New Roman" w:eastAsia="Times New Roman" w:hAnsi="Times New Roman"/>
          <w:sz w:val="18"/>
          <w:szCs w:val="18"/>
          <w:b w:val="1"/>
          <w:bCs w:val="1"/>
          <w:i w:val="1"/>
          <w:iCs w:val="1"/>
          <w:color w:val="auto"/>
        </w:rPr>
        <w:t>Frederick T. Muto</w:t>
      </w:r>
      <w:r>
        <w:rPr>
          <w:rFonts w:ascii="Times New Roman" w:cs="Times New Roman" w:eastAsia="Times New Roman" w:hAnsi="Times New Roman"/>
          <w:sz w:val="18"/>
          <w:szCs w:val="18"/>
          <w:color w:val="auto"/>
        </w:rPr>
        <w:t>, age 64</w:t>
      </w:r>
      <w:r>
        <w:rPr>
          <w:rFonts w:ascii="Times New Roman" w:cs="Times New Roman" w:eastAsia="Times New Roman" w:hAnsi="Times New Roman"/>
          <w:sz w:val="27"/>
          <w:szCs w:val="27"/>
          <w:u w:val="single" w:color="auto"/>
          <w:color w:val="0000EE"/>
          <w:vertAlign w:val="superscript"/>
        </w:rPr>
        <w:t>2</w:t>
      </w:r>
      <w:r>
        <w:rPr>
          <w:rFonts w:ascii="Times New Roman" w:cs="Times New Roman" w:eastAsia="Times New Roman" w:hAnsi="Times New Roman"/>
          <w:sz w:val="18"/>
          <w:szCs w:val="18"/>
          <w:color w:val="auto"/>
        </w:rPr>
        <w:t>, has served as a Director of Ionis since March 2001. Mr. Muto joined the law firm of Cooley LLP,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outside counsel to Ionis, in 1980, became a partner in 1986 and Senior Counsel in 2018. He is a founding partner of Cooley LLP’s San Diego office and was Chair of the firm’s Business Department for a number of years.</w:t>
      </w:r>
    </w:p>
    <w:p>
      <w:pPr>
        <w:spacing w:after="0" w:line="91" w:lineRule="exact"/>
        <w:rPr>
          <w:sz w:val="20"/>
          <w:szCs w:val="20"/>
          <w:color w:val="auto"/>
        </w:rPr>
      </w:pPr>
    </w:p>
    <w:p>
      <w:pPr>
        <w:ind w:left="7" w:right="220" w:firstLine="360"/>
        <w:spacing w:after="0" w:line="266" w:lineRule="auto"/>
        <w:rPr>
          <w:sz w:val="20"/>
          <w:szCs w:val="20"/>
          <w:color w:val="auto"/>
        </w:rPr>
      </w:pPr>
      <w:r>
        <w:rPr>
          <w:rFonts w:ascii="Times New Roman" w:cs="Times New Roman" w:eastAsia="Times New Roman" w:hAnsi="Times New Roman"/>
          <w:sz w:val="18"/>
          <w:szCs w:val="18"/>
          <w:color w:val="auto"/>
        </w:rPr>
        <w:t>The Board believes Mr. Muto is uniquely suited to serve on the Board primarily because, with over 37 years of experience at one of the country’s leading law firms focused on life sciences and technology companies, he provides us important advice regarding our strategic transactions, corporate governance and compensation matters.</w:t>
      </w:r>
    </w:p>
    <w:p>
      <w:pPr>
        <w:spacing w:after="0" w:line="64" w:lineRule="exact"/>
        <w:rPr>
          <w:sz w:val="20"/>
          <w:szCs w:val="20"/>
          <w:color w:val="auto"/>
        </w:rPr>
      </w:pPr>
    </w:p>
    <w:p>
      <w:pPr>
        <w:ind w:left="7" w:right="80"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Breaux B. Castleman</w:t>
      </w:r>
      <w:r>
        <w:rPr>
          <w:rFonts w:ascii="Times New Roman" w:cs="Times New Roman" w:eastAsia="Times New Roman" w:hAnsi="Times New Roman"/>
          <w:sz w:val="18"/>
          <w:szCs w:val="18"/>
          <w:color w:val="auto"/>
        </w:rPr>
        <w:t>, age 77, has served as a Director of Ionis since June 2013. Since August 2001, Mr. Castleman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chief executive officer of Syntiro Healthcare Services, Inc., a healthcare investment company, which sold its operations as a service provider of integrated care management and disease management. Mr. Castleman was a director of USMD Holdings, Inc., a physician-led integrated healthcare system, from September 2009 until October 2016 and was a director of MELA Sciences, Inc., a medical device company, from 2003 until 2011.</w:t>
      </w:r>
    </w:p>
    <w:p>
      <w:pPr>
        <w:spacing w:after="0" w:line="76" w:lineRule="exact"/>
        <w:rPr>
          <w:sz w:val="20"/>
          <w:szCs w:val="20"/>
          <w:color w:val="auto"/>
        </w:rPr>
      </w:pPr>
    </w:p>
    <w:p>
      <w:pPr>
        <w:ind w:left="7" w:right="80" w:firstLine="360"/>
        <w:spacing w:after="0" w:line="266" w:lineRule="auto"/>
        <w:rPr>
          <w:sz w:val="20"/>
          <w:szCs w:val="20"/>
          <w:color w:val="auto"/>
        </w:rPr>
      </w:pPr>
      <w:r>
        <w:rPr>
          <w:rFonts w:ascii="Times New Roman" w:cs="Times New Roman" w:eastAsia="Times New Roman" w:hAnsi="Times New Roman"/>
          <w:sz w:val="18"/>
          <w:szCs w:val="18"/>
          <w:color w:val="auto"/>
        </w:rPr>
        <w:t>The Board believes that Mr. Castleman is uniquely suited to serve on the Board and the Audit Committee because he has significant experience in strategic planning and financial structuring matters for Fortune 1000 companies and has financial advisory expertise in the life sciences industry.</w:t>
      </w:r>
    </w:p>
    <w:p>
      <w:pPr>
        <w:spacing w:after="0" w:line="64"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ELECTION OF THE ABOVE NOMINEES.</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Biographies of the Directors Whose Terms Expire at the 2019 Annual Meeting</w:t>
      </w:r>
    </w:p>
    <w:p>
      <w:pPr>
        <w:spacing w:after="0" w:line="117" w:lineRule="exact"/>
        <w:rPr>
          <w:sz w:val="20"/>
          <w:szCs w:val="20"/>
          <w:color w:val="auto"/>
        </w:rPr>
      </w:pPr>
    </w:p>
    <w:p>
      <w:pPr>
        <w:ind w:left="7"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Stanley T. Crooke</w:t>
      </w:r>
      <w:r>
        <w:rPr>
          <w:rFonts w:ascii="Times New Roman" w:cs="Times New Roman" w:eastAsia="Times New Roman" w:hAnsi="Times New Roman"/>
          <w:sz w:val="18"/>
          <w:szCs w:val="18"/>
          <w:color w:val="auto"/>
        </w:rPr>
        <w:t>, M.D., Ph.D., age 72, is a founder of Ionis and has been Chief Executive Officer and a Director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1989. He was elected Chairman of the Board in February 1991. Prior to founding Ionis, from 1980 until January 1989, Dr. Crooke worked for SmithKline Beckman Corporation, a pharmaceutical company, where his titles included President of Research and Development of SmithKline and French Laboratories. Dr. Crooke serves on the board of directors of Akcea Therapeutics, Inc., a biopharmaceutical company.</w:t>
      </w:r>
    </w:p>
    <w:p>
      <w:pPr>
        <w:spacing w:after="0" w:line="76" w:lineRule="exact"/>
        <w:rPr>
          <w:sz w:val="20"/>
          <w:szCs w:val="20"/>
          <w:color w:val="auto"/>
        </w:rPr>
      </w:pPr>
    </w:p>
    <w:p>
      <w:pPr>
        <w:ind w:left="7" w:right="80" w:firstLine="360"/>
        <w:spacing w:after="0" w:line="261" w:lineRule="auto"/>
        <w:rPr>
          <w:sz w:val="20"/>
          <w:szCs w:val="20"/>
          <w:color w:val="auto"/>
        </w:rPr>
      </w:pPr>
      <w:r>
        <w:rPr>
          <w:rFonts w:ascii="Times New Roman" w:cs="Times New Roman" w:eastAsia="Times New Roman" w:hAnsi="Times New Roman"/>
          <w:sz w:val="18"/>
          <w:szCs w:val="18"/>
          <w:color w:val="auto"/>
        </w:rPr>
        <w:t>The Board believes Dr. Crooke is uniquely suited to serve on the Board primarily because, as the Chief Executive Officer and founder of Ionis, he has dedicated nearly 31 years to discovering and developing antisense, our technology platform. He is the named inventor on some of the key patents in the field of RNA-targeted therapeutics, and has nearly 40 years of drug discovery and development experience.</w:t>
      </w:r>
    </w:p>
    <w:p>
      <w:pPr>
        <w:spacing w:after="0" w:line="68" w:lineRule="exact"/>
        <w:rPr>
          <w:sz w:val="20"/>
          <w:szCs w:val="20"/>
          <w:color w:val="auto"/>
        </w:rPr>
      </w:pPr>
    </w:p>
    <w:p>
      <w:pPr>
        <w:ind w:left="7"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Joseph Klein</w:t>
      </w:r>
      <w:r>
        <w:rPr>
          <w:rFonts w:ascii="Times New Roman" w:cs="Times New Roman" w:eastAsia="Times New Roman" w:hAnsi="Times New Roman"/>
          <w:sz w:val="18"/>
          <w:szCs w:val="18"/>
          <w:color w:val="auto"/>
        </w:rPr>
        <w:t>, III, age 56, has served as a Director of Ionis since December 2005. Mr. Klein is currently Managing Director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Gauss Capital Advisors, LLC, a financial consulting and investment advisory firm focused on biopharmaceuticals, which he founded in March 1998. From September 2003 to December 2008, Mr. Klein also served as a Venture Partner of Red Abbey Venture Partners, L.P., a life science private equity fund. From September 2001 to September 2002, Mr. Klein was a Venture Partner of MPM Capital, a healthcare venture capital firm. From June 1999 to September 2000 when it merged with WebMD Corporation, Mr. Klein served as Vice President, Strategy, for Medical Manager Corporation, a leading developer of physician office management information systems. For over nine years from 1989 to 1998, Mr. Klein was a health care investment analyst at T. Rowe Price Associates, Inc., where he was the founding portfolio manager of the T. Rowe Price Health Sciences Fund, Inc. Mr. Klein serves on the board of directors of The Prospector Funds, Inc., an SEC Registered Investment Company that manages two no-load mutual funds. Mr. Klein also serves on the boards of private and non-profit entities.</w:t>
      </w:r>
    </w:p>
    <w:p>
      <w:pPr>
        <w:spacing w:after="0" w:line="82" w:lineRule="exact"/>
        <w:rPr>
          <w:sz w:val="20"/>
          <w:szCs w:val="20"/>
          <w:color w:val="auto"/>
        </w:rPr>
      </w:pPr>
    </w:p>
    <w:p>
      <w:pPr>
        <w:jc w:val="both"/>
        <w:ind w:left="7" w:right="60" w:firstLine="360"/>
        <w:spacing w:after="0" w:line="289" w:lineRule="auto"/>
        <w:rPr>
          <w:sz w:val="20"/>
          <w:szCs w:val="20"/>
          <w:color w:val="auto"/>
        </w:rPr>
      </w:pPr>
      <w:r>
        <w:rPr>
          <w:rFonts w:ascii="Times New Roman" w:cs="Times New Roman" w:eastAsia="Times New Roman" w:hAnsi="Times New Roman"/>
          <w:sz w:val="17"/>
          <w:szCs w:val="17"/>
          <w:color w:val="auto"/>
        </w:rPr>
        <w:t>The Board believes that Mr. Klein is uniquely suited to serve on the Board and the Audit Committee because he is a Chartered Financial Analyst and has extensive public company, venture investment, board, and financial advisory expertise in the life sciences industry, including previously serving as Chairman of the Audit Committee at several public biopharmaceutical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909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06" w:lineRule="exact"/>
        <w:rPr>
          <w:sz w:val="20"/>
          <w:szCs w:val="20"/>
          <w:color w:val="auto"/>
        </w:rPr>
      </w:pPr>
    </w:p>
    <w:p>
      <w:pPr>
        <w:ind w:left="167" w:hanging="167"/>
        <w:spacing w:after="0"/>
        <w:tabs>
          <w:tab w:leader="none" w:pos="167"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All ages of our Directors provided under this Proposal 1 are as of March 1, 2018.</w:t>
      </w:r>
    </w:p>
    <w:p>
      <w:pPr>
        <w:spacing w:after="0" w:line="18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Joseph Loscalzo</w:t>
      </w:r>
      <w:r>
        <w:rPr>
          <w:rFonts w:ascii="Times New Roman" w:cs="Times New Roman" w:eastAsia="Times New Roman" w:hAnsi="Times New Roman"/>
          <w:sz w:val="18"/>
          <w:szCs w:val="18"/>
          <w:color w:val="auto"/>
        </w:rPr>
        <w:t>, age 66, is Hersey Professor of the Theory and Practice of Medicine at Harvard Medical School, Chairman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Department of Medicine, and Physician-in-Chief at Brigham and Women’s Hospital. Dr. Loscalzo received his A.B. degree, summa cum laude, his Ph.D. in biochemistry, and his M.D. from the University of Pennsylvania. His clinical training was completed at Brigham and Women’s Hospital and Harvard Medical School, where he served as Resident and Chief Resident in medicine and Fellow in cardiovascular medicine. Post-training, Dr. Loscalzo joined the Harvard faculty and staff at Brigham and Women’s Hospital in 1984. He rose to the rank of Associate Professor of Medicine, Chief of Cardiology at the West Roxbury Veterans Administration Medical Center, and Director of the Center for Research in Thrombolysis at Brigham and Women’s Hospital. He joined the faculty of Boston University in 1994, first as Chief of Cardiology and, in 1997, Wade Professor and Chair of Medicine, Professor of Biochemistry, and Director of the Whitaker Cardiovascular Institute. He returned to Harvard and Brigham and Women’s Hospital in 2005. He currently serves on the board of directors of Leap Therapeutics, Inc., a publicly held biopharmaceutical company.</w:t>
      </w:r>
    </w:p>
    <w:p>
      <w:pPr>
        <w:spacing w:after="0" w:line="79"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The Board believes Dr. Loscalzo is uniquely suited to serve on the Board primarily because of his extensive scientific expertise, including 27 years of research in the areas of vascular biology, thrombosis, and atherosclerosis, and practical knowledge as a practicing physician. Dr. Loscalzo’s expertise and role as a leading cardiologist is particularly valuable as we advance and grow our cardiovascular franchise.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Biographies of the Directors Whose Terms Expire at the 2020 Annual Meeting</w:t>
      </w:r>
    </w:p>
    <w:p>
      <w:pPr>
        <w:spacing w:after="0" w:line="117"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Spencer R. Berthelsen</w:t>
      </w:r>
      <w:r>
        <w:rPr>
          <w:rFonts w:ascii="Times New Roman" w:cs="Times New Roman" w:eastAsia="Times New Roman" w:hAnsi="Times New Roman"/>
          <w:sz w:val="18"/>
          <w:szCs w:val="18"/>
          <w:color w:val="auto"/>
        </w:rPr>
        <w:t>, M.D., age 65, has served as a Director of Ionis since May 2002. Since 1980, he has practiced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Medicine with the Kelsey Seybold Clinic, a 400 physician medical group based in the Texas Medical Center in Houston. Dr. Berthelsen has served in various senior leadership positions at Kelsey Seybold, including Chairman of the Department of Internal Medicine, Medical Director and Managing Director. He served as Chairman of their Board of Directors from October 2001 through April 2016. He has served as a Clinical Professor of Medicine at Baylor College of Medicine and the University of Texas Health Science Center of Houston. Dr. Berthelsen served on the board of the Texas Academy of Internal Medicine in the past and the Caremark National Pharmacy and Therapeutics Committee from 1999 through 2005.</w:t>
      </w:r>
    </w:p>
    <w:p>
      <w:pPr>
        <w:spacing w:after="0" w:line="79" w:lineRule="exact"/>
        <w:rPr>
          <w:sz w:val="20"/>
          <w:szCs w:val="20"/>
          <w:color w:val="auto"/>
        </w:rPr>
      </w:pPr>
    </w:p>
    <w:p>
      <w:pPr>
        <w:ind w:right="240" w:firstLine="360"/>
        <w:spacing w:after="0" w:line="282" w:lineRule="auto"/>
        <w:rPr>
          <w:sz w:val="20"/>
          <w:szCs w:val="20"/>
          <w:color w:val="auto"/>
        </w:rPr>
      </w:pPr>
      <w:r>
        <w:rPr>
          <w:rFonts w:ascii="Times New Roman" w:cs="Times New Roman" w:eastAsia="Times New Roman" w:hAnsi="Times New Roman"/>
          <w:sz w:val="18"/>
          <w:szCs w:val="18"/>
          <w:color w:val="auto"/>
        </w:rPr>
        <w:t>The Board believes Dr. Berthelsen is uniquely suited to serve on the Board because of his experience advising a large multi-specialty group practice and 37 years of experience as a practicing physician.</w:t>
      </w:r>
    </w:p>
    <w:p>
      <w:pPr>
        <w:spacing w:after="0" w:line="50"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B. Lynne Parshall</w:t>
      </w:r>
      <w:r>
        <w:rPr>
          <w:rFonts w:ascii="Times New Roman" w:cs="Times New Roman" w:eastAsia="Times New Roman" w:hAnsi="Times New Roman"/>
          <w:sz w:val="18"/>
          <w:szCs w:val="18"/>
          <w:color w:val="auto"/>
        </w:rPr>
        <w:t>, age 63, has served as a Director of Ionis since September 2000 and as a Senior Strategic Advisor to Ionis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January 2018. Previously she served as our Chief Operating Officer from December 2007 through December 2017 and as our Chief Financial Officer from June 1994 through December 2012. She also served as our Corporate Secretary through 2014, and has served with the Company in various executive roles since November 1991. Prior to joining Ionis, Ms. Parshall practiced law at Cooley LLP, outside counsel to Ionis, where she was a partner from 1986 to 1991. Ms. Parshall is a member of the American and California bar associations. Ms. Parshall serves on the board of directors of Cytokinetcs Inc. and Akcea Therapeutics, Inc., both biopharmaceutical companies. Within the last five years, Ms. Parshall formerly served as a Director of Regulus Therapeutics, Inc.</w:t>
      </w:r>
    </w:p>
    <w:p>
      <w:pPr>
        <w:spacing w:after="0" w:line="79" w:lineRule="exact"/>
        <w:rPr>
          <w:sz w:val="20"/>
          <w:szCs w:val="20"/>
          <w:color w:val="auto"/>
        </w:rPr>
      </w:pPr>
    </w:p>
    <w:p>
      <w:pPr>
        <w:jc w:val="both"/>
        <w:ind w:right="200" w:firstLine="360"/>
        <w:spacing w:after="0" w:line="261" w:lineRule="auto"/>
        <w:rPr>
          <w:sz w:val="20"/>
          <w:szCs w:val="20"/>
          <w:color w:val="auto"/>
        </w:rPr>
      </w:pPr>
      <w:r>
        <w:rPr>
          <w:rFonts w:ascii="Times New Roman" w:cs="Times New Roman" w:eastAsia="Times New Roman" w:hAnsi="Times New Roman"/>
          <w:sz w:val="18"/>
          <w:szCs w:val="18"/>
          <w:color w:val="auto"/>
        </w:rPr>
        <w:t>The Board believes Ms. Parshall is uniquely suited to serve on the Board primarily because, as the former Chief Operating Officer and former executive of the Company for over 25 years, she has valuable Company-specific experience and expertise. In addition, Ms. Parshall has over 31 years of experience structuring and negotiating strategic licensing and financing transactions in the life sciences field.</w:t>
      </w:r>
    </w:p>
    <w:p>
      <w:pPr>
        <w:spacing w:after="0" w:line="68" w:lineRule="exact"/>
        <w:rPr>
          <w:sz w:val="20"/>
          <w:szCs w:val="20"/>
          <w:color w:val="auto"/>
        </w:rPr>
      </w:pPr>
    </w:p>
    <w:p>
      <w:pPr>
        <w:ind w:right="60"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Joseph H. Wender</w:t>
      </w:r>
      <w:r>
        <w:rPr>
          <w:rFonts w:ascii="Times New Roman" w:cs="Times New Roman" w:eastAsia="Times New Roman" w:hAnsi="Times New Roman"/>
          <w:sz w:val="18"/>
          <w:szCs w:val="18"/>
          <w:color w:val="auto"/>
        </w:rPr>
        <w:t>, age 73, has served as a Director of Ionis since January 1994. Mr. Wender began with Goldman, Sachs &amp;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 in 1971 and became a General Partner of that firm in 1982, where he headed the Financial Institutions Group for over a decade. Since January 2008, he has been a Senior Consultant to Goldman Sachs &amp; Co. He is also an Independent Trustee of the Schwab Family of Funds and Director of Grandpoint Capital, a bank holding company. Mr. Wender also is co-CEO and minority partner, with his wife, of Colgin Cellars. Since March 2014, Mr. Wender has been a director, and is currently lead director, of Outfront Media, lessors of advertising space on out-of-home advertising structures.</w:t>
      </w:r>
    </w:p>
    <w:p>
      <w:pPr>
        <w:spacing w:after="0" w:line="79"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The Board believes Mr. Wender is uniquely suited to serve on the Board primarily because, with over 46 years of experience as an investment banker with Goldman, Sachs &amp; Co., he provides Ionis important advice regarding our financial reporting, corporate finance matters, strategic transactions, and compensation matters. Mr. Wender is also highly qualified to serve on the Audit Committee.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INFORMATION REGARDING THE BOARD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w:t>
      </w:r>
    </w:p>
    <w:p>
      <w:pPr>
        <w:spacing w:after="0" w:line="121"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As required under Nasdaq listing standards, a majority of the members of a listed company’s board of directors must qualify as “independent,” as evaluated by our Nominating, Governance and Review Committee and affirmed by our Board. Our Nominating, Governance and Review Committee consults with our legal counsel to ensure that the Committee’s determinations are consistent with all relevant securities and other laws and regulations regarding the definition of “independent,” including those set forth in the applicable Nasdaq listing standards and applicable SEC rules and regulations, as in effect from time to time.</w:t>
      </w:r>
    </w:p>
    <w:p>
      <w:pPr>
        <w:spacing w:after="0" w:line="76"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or relationships between each Director, or any of his or her family members, and Ionis, its senior management and its independent auditors, the Board affirmatively has determined that all of our Directors are independent Directors within the meaning of the applicable Nasdaq listing standards and SEC rules and regulations, except for Dr. Crooke and Ms. Parshall, our Chief Executive Officer and former Chief Operating Officer, respectively. In making this determination, the Board found that none of these Directors has a material or other disqualifying relationship with us. With respect to Mr. Muto who is a partner of Cooley LLP, our outside legal counsel, he is independent for purposes other than serving on the Audit Committee or Compensation Committee, each of which he is not a member.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Board and its Committees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Leadership Structure</w:t>
      </w:r>
    </w:p>
    <w:p>
      <w:pPr>
        <w:spacing w:after="0" w:line="119"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18"/>
          <w:szCs w:val="18"/>
          <w:color w:val="auto"/>
        </w:rPr>
        <w:t>Our Chief Executive Officer is the Chairman of the Board. The Board believes that Ionis’ CEO is best suited to serve as Chairman because he has served as CEO since Ionis was formed 29 years ago and he is the Director most familiar with our science, business and industry. Because of that experience, he is the Director most capable of effectively identifying strategic priorities and leading the discussion and execution of strategy. Our independent Directors bring experience, oversight and expertise from outside Ionis and our industry, while the CEO brings Company-specific experience and expertise. The Board believes the combined role of Chairman and CEO promotes strategy development and execution, and facilitates information flow between management and the Board, which are essential to effective governance.</w:t>
      </w:r>
    </w:p>
    <w:p>
      <w:pPr>
        <w:spacing w:after="0" w:line="81" w:lineRule="exact"/>
        <w:rPr>
          <w:sz w:val="20"/>
          <w:szCs w:val="20"/>
          <w:color w:val="auto"/>
        </w:rPr>
      </w:pPr>
    </w:p>
    <w:p>
      <w:pPr>
        <w:ind w:firstLine="360"/>
        <w:spacing w:after="0" w:line="271" w:lineRule="auto"/>
        <w:rPr>
          <w:sz w:val="20"/>
          <w:szCs w:val="20"/>
          <w:color w:val="auto"/>
        </w:rPr>
      </w:pPr>
      <w:r>
        <w:rPr>
          <w:rFonts w:ascii="Times New Roman" w:cs="Times New Roman" w:eastAsia="Times New Roman" w:hAnsi="Times New Roman"/>
          <w:sz w:val="17"/>
          <w:szCs w:val="17"/>
          <w:color w:val="auto"/>
        </w:rPr>
        <w:t>One of the key responsibilities of the Board is to develop strategic direction and hold management accountable for executing the established strategy. As part of each Board meeting, our independent Directors meet in an executive session without the presence of our employee Director. We do not have a single “lead independent director.” Instead, the Chairpersons of the Audit Committee, the Compensation Committee, and the Nominating, Governance and Review Committee preside over the executive sessions on a rotating basis. This rotating approach provides diversity to the process, thereby ensuring healthy discussion since the same individual does not continuously lead each executive session. In addition, Dr. Loscalzo and Mr. Muto, who are both independent Board members, are members of the Agenda Committee, which sets the agenda for each Board meeting. The Board believes the combined role of Chairman and CEO, together with the executive sessions and agenda setting described above, is in the best interest of stockholders because it provides the appropriate balance between developing strategy and independently overseeing management.</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Risk Oversight</w:t>
      </w:r>
    </w:p>
    <w:p>
      <w:pPr>
        <w:spacing w:after="0" w:line="119" w:lineRule="exact"/>
        <w:rPr>
          <w:sz w:val="20"/>
          <w:szCs w:val="20"/>
          <w:color w:val="auto"/>
        </w:rPr>
      </w:pPr>
    </w:p>
    <w:p>
      <w:pPr>
        <w:ind w:right="80" w:firstLine="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Board administers its risk oversight function directly and through both its Audit Committee and its Nominating, Governance and Review Committee. The Audit Committee oversees management of financial risks and related party transactions. The Nominating, Governance and Review Committee manages risks associated with the independence of the Board and potential conflicts of interests at the Board level, and periodically reviews our policies and procedures and makes recommendations when appropriate. We provide a complete description of each of these committees and its respective roles and responsibilities on pages </w:t>
      </w:r>
      <w:hyperlink w:anchor="page14">
        <w:r>
          <w:rPr>
            <w:rFonts w:ascii="Times New Roman" w:cs="Times New Roman" w:eastAsia="Times New Roman" w:hAnsi="Times New Roman"/>
            <w:sz w:val="18"/>
            <w:szCs w:val="18"/>
            <w:u w:val="single" w:color="auto"/>
            <w:color w:val="0000EE"/>
          </w:rPr>
          <w:t>11</w:t>
        </w:r>
      </w:hyperlink>
      <w:r>
        <w:rPr>
          <w:rFonts w:ascii="Times New Roman" w:cs="Times New Roman" w:eastAsia="Times New Roman" w:hAnsi="Times New Roman"/>
          <w:sz w:val="18"/>
          <w:szCs w:val="18"/>
          <w:color w:val="auto"/>
        </w:rPr>
        <w:t xml:space="preserve"> through </w:t>
      </w:r>
      <w:hyperlink w:anchor="page14">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this Proxy Statement. While each of these committees is responsible for evaluating certain risks and overseeing how we manage risk, these committees regularly inform the entire Board about such risks through committee reports.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12" w:name="page13"/>
    <w:bookmarkEnd w:id="12"/>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7" w:right="20" w:firstLine="360"/>
        <w:spacing w:after="0" w:line="256" w:lineRule="auto"/>
        <w:rPr>
          <w:sz w:val="20"/>
          <w:szCs w:val="20"/>
          <w:color w:val="auto"/>
        </w:rPr>
      </w:pPr>
      <w:r>
        <w:rPr>
          <w:rFonts w:ascii="Times New Roman" w:cs="Times New Roman" w:eastAsia="Times New Roman" w:hAnsi="Times New Roman"/>
          <w:sz w:val="18"/>
          <w:szCs w:val="18"/>
          <w:color w:val="auto"/>
        </w:rPr>
        <w:t>In addition to the formal compliance program, the Board, the Audit Committee and the Nominating, Governance and Review Committee encourage management to promote a corporate culture that understands risk management and incorporates it into the overall corporate strategy and day-to-day business operations. Our risk management structure also includes an ongoing effort to assess and analyze the most likely areas of future risk for Ionis. As a result, the Board, the Audit Committee, the Nominating, Governance and Review Committee and the Scientific/Medical Committee periodically ask our executives to discuss the most likely sources of material future risks and how we are addressing any significant potential vulnerability.</w:t>
      </w:r>
    </w:p>
    <w:p>
      <w:pPr>
        <w:spacing w:after="0" w:line="186"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i w:val="1"/>
          <w:iCs w:val="1"/>
          <w:color w:val="auto"/>
        </w:rPr>
        <w:t>Board Committees</w:t>
      </w:r>
    </w:p>
    <w:p>
      <w:pPr>
        <w:spacing w:after="0" w:line="119" w:lineRule="exact"/>
        <w:rPr>
          <w:sz w:val="20"/>
          <w:szCs w:val="20"/>
          <w:color w:val="auto"/>
        </w:rPr>
      </w:pPr>
    </w:p>
    <w:p>
      <w:pPr>
        <w:ind w:left="7" w:right="100" w:firstLine="360"/>
        <w:spacing w:after="0" w:line="258" w:lineRule="auto"/>
        <w:rPr>
          <w:sz w:val="20"/>
          <w:szCs w:val="20"/>
          <w:color w:val="auto"/>
        </w:rPr>
      </w:pPr>
      <w:r>
        <w:rPr>
          <w:rFonts w:ascii="Times New Roman" w:cs="Times New Roman" w:eastAsia="Times New Roman" w:hAnsi="Times New Roman"/>
          <w:sz w:val="18"/>
          <w:szCs w:val="18"/>
          <w:color w:val="auto"/>
        </w:rPr>
        <w:t>The Board has five committees: an Audit Committee, a Compensation Committee, a Nominating, Governance and Review Committee, an Agenda Committee and a Scientific/Medical Committee. Below is a description of each committee of our Board. Each of the committees has authority to engage legal counsel or other experts or consultants as it deems appropriate to carry out its responsibilities. The Board has determined that each member of our Audit Committee, Compensation Committee, and Nominating, Governance and Review Committee:</w:t>
      </w:r>
    </w:p>
    <w:p>
      <w:pPr>
        <w:spacing w:after="0" w:line="76" w:lineRule="exact"/>
        <w:rPr>
          <w:sz w:val="20"/>
          <w:szCs w:val="20"/>
          <w:color w:val="auto"/>
        </w:rPr>
      </w:pPr>
    </w:p>
    <w:p>
      <w:pPr>
        <w:ind w:left="707" w:right="120" w:hanging="356"/>
        <w:spacing w:after="0" w:line="282" w:lineRule="auto"/>
        <w:tabs>
          <w:tab w:leader="none" w:pos="7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applicable rules and regulations regarding “independence,” including, but not limited to, Rule 5605(a)(2) of the Nasdaq listing standards and applicable SEC rules and regulations;</w:t>
      </w:r>
    </w:p>
    <w:p>
      <w:pPr>
        <w:spacing w:after="0" w:line="53" w:lineRule="exact"/>
        <w:rPr>
          <w:rFonts w:ascii="Times New Roman" w:cs="Times New Roman" w:eastAsia="Times New Roman" w:hAnsi="Times New Roman"/>
          <w:sz w:val="18"/>
          <w:szCs w:val="18"/>
          <w:color w:val="auto"/>
        </w:rPr>
      </w:pPr>
    </w:p>
    <w:p>
      <w:pPr>
        <w:ind w:left="707" w:hanging="356"/>
        <w:spacing w:after="0"/>
        <w:tabs>
          <w:tab w:leader="none" w:pos="7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officer or employee of Ionis; and</w:t>
      </w:r>
    </w:p>
    <w:p>
      <w:pPr>
        <w:spacing w:after="0" w:line="117" w:lineRule="exact"/>
        <w:rPr>
          <w:rFonts w:ascii="Times New Roman" w:cs="Times New Roman" w:eastAsia="Times New Roman" w:hAnsi="Times New Roman"/>
          <w:sz w:val="18"/>
          <w:szCs w:val="18"/>
          <w:color w:val="auto"/>
        </w:rPr>
      </w:pPr>
    </w:p>
    <w:p>
      <w:pPr>
        <w:ind w:left="707" w:hanging="356"/>
        <w:spacing w:after="0"/>
        <w:tabs>
          <w:tab w:leader="none" w:pos="7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free of any relationship that would interfere with his individual exercise of independent judgment with regard to Ionis.</w:t>
      </w:r>
    </w:p>
    <w:p>
      <w:pPr>
        <w:spacing w:after="0" w:line="2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Meetings and Attendance; Committee Members</w:t>
      </w:r>
    </w:p>
    <w:p>
      <w:pPr>
        <w:spacing w:after="0" w:line="121" w:lineRule="exact"/>
        <w:rPr>
          <w:sz w:val="20"/>
          <w:szCs w:val="20"/>
          <w:color w:val="auto"/>
        </w:rPr>
      </w:pPr>
    </w:p>
    <w:p>
      <w:pPr>
        <w:ind w:left="7" w:right="180" w:firstLine="360"/>
        <w:spacing w:after="0" w:line="266" w:lineRule="auto"/>
        <w:rPr>
          <w:sz w:val="20"/>
          <w:szCs w:val="20"/>
          <w:color w:val="auto"/>
        </w:rPr>
      </w:pPr>
      <w:r>
        <w:rPr>
          <w:rFonts w:ascii="Times New Roman" w:cs="Times New Roman" w:eastAsia="Times New Roman" w:hAnsi="Times New Roman"/>
          <w:sz w:val="18"/>
          <w:szCs w:val="18"/>
          <w:color w:val="auto"/>
        </w:rPr>
        <w:t>The Board met five times in 2017. During 2017, each Director attended 75% or more of the aggregate number of meetings of the Board and the committees on which such Director served. We encourage each member of the Board to attend the Annual Meeting of Stockholders.</w:t>
      </w:r>
    </w:p>
    <w:p>
      <w:pPr>
        <w:spacing w:after="0" w:line="1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Board Committee Members</w:t>
      </w:r>
    </w:p>
    <w:p>
      <w:pPr>
        <w:spacing w:after="0" w:line="121" w:lineRule="exact"/>
        <w:rPr>
          <w:sz w:val="20"/>
          <w:szCs w:val="20"/>
          <w:color w:val="auto"/>
        </w:rPr>
      </w:pPr>
    </w:p>
    <w:p>
      <w:pPr>
        <w:ind w:left="7" w:right="60" w:firstLine="360"/>
        <w:spacing w:after="0" w:line="282" w:lineRule="auto"/>
        <w:rPr>
          <w:sz w:val="20"/>
          <w:szCs w:val="20"/>
          <w:color w:val="auto"/>
        </w:rPr>
      </w:pPr>
      <w:r>
        <w:rPr>
          <w:rFonts w:ascii="Times New Roman" w:cs="Times New Roman" w:eastAsia="Times New Roman" w:hAnsi="Times New Roman"/>
          <w:sz w:val="18"/>
          <w:szCs w:val="18"/>
          <w:color w:val="auto"/>
        </w:rPr>
        <w:t>The table below provides membership and meeting information for fiscal 2017 for each of the Board committees and identifies our current Board and committee members.</w:t>
      </w:r>
    </w:p>
    <w:p>
      <w:pPr>
        <w:spacing w:after="0" w:line="20"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Attended</w:t>
            </w: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 and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Science/</w:t>
            </w:r>
          </w:p>
        </w:tc>
        <w:tc>
          <w:tcPr>
            <w:tcW w:w="160" w:type="dxa"/>
            <w:vAlign w:val="bottom"/>
          </w:tcPr>
          <w:p>
            <w:pPr>
              <w:spacing w:after="0"/>
              <w:rPr>
                <w:sz w:val="14"/>
                <w:szCs w:val="14"/>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2017 Annual</w:t>
            </w:r>
          </w:p>
        </w:tc>
      </w:tr>
      <w:tr>
        <w:trPr>
          <w:trHeight w:val="187"/>
        </w:trPr>
        <w:tc>
          <w:tcPr>
            <w:tcW w:w="3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Review</w:t>
            </w:r>
          </w:p>
        </w:tc>
        <w:tc>
          <w:tcPr>
            <w:tcW w:w="1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Agenda</w:t>
            </w:r>
          </w:p>
        </w:tc>
        <w:tc>
          <w:tcPr>
            <w:tcW w:w="1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Medical</w:t>
            </w:r>
          </w:p>
        </w:tc>
        <w:tc>
          <w:tcPr>
            <w:tcW w:w="160" w:type="dxa"/>
            <w:vAlign w:val="bottom"/>
          </w:tcPr>
          <w:p>
            <w:pPr>
              <w:spacing w:after="0"/>
              <w:rPr>
                <w:sz w:val="16"/>
                <w:szCs w:val="16"/>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Meeting</w:t>
            </w:r>
          </w:p>
        </w:tc>
      </w:tr>
      <w:tr>
        <w:trPr>
          <w:trHeight w:val="237"/>
        </w:trPr>
        <w:tc>
          <w:tcPr>
            <w:tcW w:w="20" w:type="dxa"/>
            <w:vAlign w:val="bottom"/>
          </w:tcPr>
          <w:p>
            <w:pPr>
              <w:spacing w:after="0"/>
              <w:rPr>
                <w:sz w:val="20"/>
                <w:szCs w:val="20"/>
                <w:color w:val="auto"/>
              </w:rPr>
            </w:pPr>
          </w:p>
        </w:tc>
        <w:tc>
          <w:tcPr>
            <w:tcW w:w="3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Spencer R. Berthelsen</w:t>
            </w:r>
          </w:p>
        </w:tc>
        <w:tc>
          <w:tcPr>
            <w:tcW w:w="180" w:type="dxa"/>
            <w:vAlign w:val="bottom"/>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180" w:type="dxa"/>
            <w:vAlign w:val="bottom"/>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160" w:type="dxa"/>
            <w:vAlign w:val="bottom"/>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shd w:val="clear" w:color="auto" w:fill="CCEEFF"/>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Breaux B. Castleman</w:t>
            </w:r>
          </w:p>
        </w:tc>
        <w:tc>
          <w:tcPr>
            <w:tcW w:w="18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r>
      <w:tr>
        <w:trPr>
          <w:trHeight w:val="252"/>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Stanley T. Crooke</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Joseph Klein, III</w:t>
            </w:r>
          </w:p>
        </w:tc>
        <w:tc>
          <w:tcPr>
            <w:tcW w:w="18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r>
      <w:tr>
        <w:trPr>
          <w:trHeight w:val="252"/>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Joseph Loscalzo</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r>
      <w:tr>
        <w:trPr>
          <w:trHeight w:val="243"/>
        </w:trPr>
        <w:tc>
          <w:tcPr>
            <w:tcW w:w="20" w:type="dxa"/>
            <w:vAlign w:val="bottom"/>
          </w:tcPr>
          <w:p>
            <w:pPr>
              <w:spacing w:after="0"/>
              <w:rPr>
                <w:sz w:val="21"/>
                <w:szCs w:val="21"/>
                <w:color w:val="auto"/>
              </w:rPr>
            </w:pPr>
          </w:p>
        </w:tc>
        <w:tc>
          <w:tcPr>
            <w:tcW w:w="332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Mr. Frederick T. Muto</w:t>
            </w:r>
            <w:r>
              <w:rPr>
                <w:rFonts w:ascii="Times New Roman" w:cs="Times New Roman" w:eastAsia="Times New Roman" w:hAnsi="Times New Roman"/>
                <w:sz w:val="28"/>
                <w:szCs w:val="28"/>
                <w:color w:val="auto"/>
                <w:vertAlign w:val="superscript"/>
              </w:rPr>
              <w:t>(1)</w:t>
            </w:r>
          </w:p>
        </w:tc>
        <w:tc>
          <w:tcPr>
            <w:tcW w:w="18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r>
      <w:tr>
        <w:trPr>
          <w:trHeight w:val="243"/>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Ms. B. Lynne Parshall</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Joseph H. Wender</w:t>
            </w:r>
          </w:p>
        </w:tc>
        <w:tc>
          <w:tcPr>
            <w:tcW w:w="18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1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r>
      <w:tr>
        <w:trPr>
          <w:trHeight w:val="252"/>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meetings in fiscal year 2017</w:t>
            </w:r>
          </w:p>
        </w:tc>
        <w:tc>
          <w:tcPr>
            <w:tcW w:w="6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gridSpan w:val="2"/>
            <w:shd w:val="clear" w:color="auto" w:fill="CCEEFF"/>
          </w:tcPr>
          <w:p>
            <w:pPr>
              <w:jc w:val="center"/>
              <w:ind w:left="114"/>
              <w:spacing w:after="0" w:line="252" w:lineRule="exact"/>
              <w:rPr>
                <w:sz w:val="20"/>
                <w:szCs w:val="20"/>
                <w:color w:val="auto"/>
              </w:rPr>
            </w:pP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3"/>
                <w:szCs w:val="13"/>
                <w:color w:val="auto"/>
              </w:rPr>
              <w:t>(2)</w:t>
            </w:r>
          </w:p>
        </w:tc>
        <w:tc>
          <w:tcPr>
            <w:tcW w:w="14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2</w:t>
            </w:r>
          </w:p>
        </w:tc>
        <w:tc>
          <w:tcPr>
            <w:tcW w:w="7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4</w:t>
            </w:r>
          </w:p>
        </w:tc>
        <w:tc>
          <w:tcPr>
            <w:tcW w:w="8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99" w:lineRule="exact"/>
        <w:rPr>
          <w:sz w:val="20"/>
          <w:szCs w:val="20"/>
          <w:color w:val="auto"/>
        </w:rPr>
      </w:pPr>
    </w:p>
    <w:p>
      <w:pPr>
        <w:ind w:left="347" w:hanging="347"/>
        <w:spacing w:after="0"/>
        <w:tabs>
          <w:tab w:leader="none" w:pos="34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109" w:lineRule="exact"/>
        <w:rPr>
          <w:sz w:val="20"/>
          <w:szCs w:val="20"/>
          <w:color w:val="auto"/>
        </w:rPr>
      </w:pPr>
    </w:p>
    <w:p>
      <w:pPr>
        <w:ind w:left="347" w:hanging="347"/>
        <w:spacing w:after="0"/>
        <w:tabs>
          <w:tab w:leader="none" w:pos="34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Muto serves as an advisor, in a non-voting capacity, to the Nominating, Governance and Review Committee, and to the Compensation Committee.</w:t>
      </w:r>
    </w:p>
    <w:p>
      <w:pPr>
        <w:spacing w:after="0" w:line="109" w:lineRule="exact"/>
        <w:rPr>
          <w:rFonts w:ascii="Times New Roman" w:cs="Times New Roman" w:eastAsia="Times New Roman" w:hAnsi="Times New Roman"/>
          <w:sz w:val="14"/>
          <w:szCs w:val="14"/>
          <w:color w:val="auto"/>
        </w:rPr>
      </w:pPr>
    </w:p>
    <w:p>
      <w:pPr>
        <w:ind w:left="347" w:right="120" w:hanging="347"/>
        <w:spacing w:after="0" w:line="282" w:lineRule="auto"/>
        <w:tabs>
          <w:tab w:leader="none" w:pos="34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Committee also acted by written consent 11 times. Our Compensation Committee typically acts by unanimous written consent each month to confirm stock options and RSUs granted in connection with new hires and promotions.</w:t>
      </w:r>
    </w:p>
    <w:p>
      <w:pPr>
        <w:spacing w:after="0" w:line="15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13" w:name="page14"/>
    <w:bookmarkEnd w:id="13"/>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7" w:right="120"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oversees our corporate accounting and financial reporting process, including audits of our financial statements. For this purpose, the Audit Committee performs several functions.</w:t>
      </w:r>
    </w:p>
    <w:p>
      <w:pPr>
        <w:spacing w:after="0" w:line="54"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117" w:lineRule="exact"/>
        <w:rPr>
          <w:sz w:val="20"/>
          <w:szCs w:val="20"/>
          <w:color w:val="auto"/>
        </w:rPr>
      </w:pPr>
    </w:p>
    <w:p>
      <w:pPr>
        <w:ind w:left="707" w:right="60" w:hanging="356"/>
        <w:spacing w:after="0" w:line="282" w:lineRule="auto"/>
        <w:tabs>
          <w:tab w:leader="none" w:pos="7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annual and quarterly financial statements and oversees the annual and quarterly financial reporting processes, including sessions with the auditors in which Ionis’ employees and management are not present;</w:t>
      </w:r>
    </w:p>
    <w:p>
      <w:pPr>
        <w:spacing w:after="0" w:line="53" w:lineRule="exact"/>
        <w:rPr>
          <w:rFonts w:ascii="Times New Roman" w:cs="Times New Roman" w:eastAsia="Times New Roman" w:hAnsi="Times New Roman"/>
          <w:sz w:val="18"/>
          <w:szCs w:val="18"/>
          <w:color w:val="auto"/>
        </w:rPr>
      </w:pPr>
    </w:p>
    <w:p>
      <w:pPr>
        <w:ind w:left="707" w:hanging="356"/>
        <w:spacing w:after="0"/>
        <w:tabs>
          <w:tab w:leader="none" w:pos="7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selects and hires our independent auditors;</w:t>
      </w:r>
    </w:p>
    <w:p>
      <w:pPr>
        <w:spacing w:after="0" w:line="117" w:lineRule="exact"/>
        <w:rPr>
          <w:rFonts w:ascii="Times New Roman" w:cs="Times New Roman" w:eastAsia="Times New Roman" w:hAnsi="Times New Roman"/>
          <w:sz w:val="18"/>
          <w:szCs w:val="18"/>
          <w:color w:val="auto"/>
        </w:rPr>
      </w:pPr>
    </w:p>
    <w:p>
      <w:pPr>
        <w:ind w:left="707" w:hanging="356"/>
        <w:spacing w:after="0"/>
        <w:tabs>
          <w:tab w:leader="none" w:pos="7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independence of our independent auditors;</w:t>
      </w:r>
    </w:p>
    <w:p>
      <w:pPr>
        <w:spacing w:after="0" w:line="117" w:lineRule="exact"/>
        <w:rPr>
          <w:rFonts w:ascii="Times New Roman" w:cs="Times New Roman" w:eastAsia="Times New Roman" w:hAnsi="Times New Roman"/>
          <w:sz w:val="18"/>
          <w:szCs w:val="18"/>
          <w:color w:val="auto"/>
        </w:rPr>
      </w:pPr>
    </w:p>
    <w:p>
      <w:pPr>
        <w:ind w:left="707" w:hanging="356"/>
        <w:spacing w:after="0"/>
        <w:tabs>
          <w:tab w:leader="none" w:pos="7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our independent auditors’ performance; and</w:t>
      </w:r>
    </w:p>
    <w:p>
      <w:pPr>
        <w:spacing w:after="0" w:line="117" w:lineRule="exact"/>
        <w:rPr>
          <w:rFonts w:ascii="Times New Roman" w:cs="Times New Roman" w:eastAsia="Times New Roman" w:hAnsi="Times New Roman"/>
          <w:sz w:val="18"/>
          <w:szCs w:val="18"/>
          <w:color w:val="auto"/>
        </w:rPr>
      </w:pPr>
    </w:p>
    <w:p>
      <w:pPr>
        <w:ind w:left="707" w:hanging="356"/>
        <w:spacing w:after="0"/>
        <w:tabs>
          <w:tab w:leader="none" w:pos="7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authority to hire its own outside consultants and advisors, if necessary.</w:t>
      </w:r>
    </w:p>
    <w:p>
      <w:pPr>
        <w:spacing w:after="0" w:line="117"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In addition to the responsibilities listed above, the Audit Committee has the following functions:</w:t>
      </w:r>
    </w:p>
    <w:p>
      <w:pPr>
        <w:spacing w:after="0" w:line="117" w:lineRule="exact"/>
        <w:rPr>
          <w:sz w:val="20"/>
          <w:szCs w:val="20"/>
          <w:color w:val="auto"/>
        </w:rPr>
      </w:pPr>
    </w:p>
    <w:p>
      <w:pPr>
        <w:ind w:left="707" w:hanging="356"/>
        <w:spacing w:after="0"/>
        <w:tabs>
          <w:tab w:leader="none" w:pos="7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budget with management and, if acceptable, recommending the budget to the Board for approval;</w:t>
      </w:r>
    </w:p>
    <w:p>
      <w:pPr>
        <w:spacing w:after="0" w:line="117" w:lineRule="exact"/>
        <w:rPr>
          <w:rFonts w:ascii="Times New Roman" w:cs="Times New Roman" w:eastAsia="Times New Roman" w:hAnsi="Times New Roman"/>
          <w:sz w:val="18"/>
          <w:szCs w:val="18"/>
          <w:color w:val="auto"/>
        </w:rPr>
      </w:pPr>
    </w:p>
    <w:p>
      <w:pPr>
        <w:ind w:left="707" w:hanging="356"/>
        <w:spacing w:after="0"/>
        <w:tabs>
          <w:tab w:leader="none" w:pos="7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and approving changes to our investment policy;</w:t>
      </w:r>
    </w:p>
    <w:p>
      <w:pPr>
        <w:spacing w:after="0" w:line="117" w:lineRule="exact"/>
        <w:rPr>
          <w:rFonts w:ascii="Times New Roman" w:cs="Times New Roman" w:eastAsia="Times New Roman" w:hAnsi="Times New Roman"/>
          <w:sz w:val="18"/>
          <w:szCs w:val="18"/>
          <w:color w:val="auto"/>
        </w:rPr>
      </w:pPr>
    </w:p>
    <w:p>
      <w:pPr>
        <w:ind w:left="707" w:right="380" w:hanging="356"/>
        <w:spacing w:after="0" w:line="313" w:lineRule="auto"/>
        <w:tabs>
          <w:tab w:leader="none" w:pos="707"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receiving and considering our independent auditors’ comments as to the audit of the financial statements and internal controls, adequacy of staff and management performance and procedures in connection with internal controls;</w:t>
      </w:r>
    </w:p>
    <w:p>
      <w:pPr>
        <w:spacing w:after="0" w:line="30" w:lineRule="exact"/>
        <w:rPr>
          <w:rFonts w:ascii="Times New Roman" w:cs="Times New Roman" w:eastAsia="Times New Roman" w:hAnsi="Times New Roman"/>
          <w:sz w:val="17"/>
          <w:szCs w:val="17"/>
          <w:color w:val="auto"/>
        </w:rPr>
      </w:pPr>
    </w:p>
    <w:p>
      <w:pPr>
        <w:ind w:left="707" w:hanging="356"/>
        <w:spacing w:after="0"/>
        <w:tabs>
          <w:tab w:leader="none" w:pos="7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if appropriate, approving related party transactions;</w:t>
      </w:r>
    </w:p>
    <w:p>
      <w:pPr>
        <w:spacing w:after="0" w:line="117" w:lineRule="exact"/>
        <w:rPr>
          <w:rFonts w:ascii="Times New Roman" w:cs="Times New Roman" w:eastAsia="Times New Roman" w:hAnsi="Times New Roman"/>
          <w:sz w:val="18"/>
          <w:szCs w:val="18"/>
          <w:color w:val="auto"/>
        </w:rPr>
      </w:pPr>
    </w:p>
    <w:p>
      <w:pPr>
        <w:ind w:left="707" w:right="460" w:hanging="356"/>
        <w:spacing w:after="0" w:line="282" w:lineRule="auto"/>
        <w:tabs>
          <w:tab w:leader="none" w:pos="7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enforcing procedures for the receipt, retention and treatment of complaints regarding accounting or auditing improprieties; and</w:t>
      </w:r>
    </w:p>
    <w:p>
      <w:pPr>
        <w:spacing w:after="0" w:line="53" w:lineRule="exact"/>
        <w:rPr>
          <w:rFonts w:ascii="Times New Roman" w:cs="Times New Roman" w:eastAsia="Times New Roman" w:hAnsi="Times New Roman"/>
          <w:sz w:val="18"/>
          <w:szCs w:val="18"/>
          <w:color w:val="auto"/>
        </w:rPr>
      </w:pPr>
    </w:p>
    <w:p>
      <w:pPr>
        <w:ind w:left="707" w:hanging="356"/>
        <w:spacing w:after="0"/>
        <w:tabs>
          <w:tab w:leader="none" w:pos="7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provided by our independent auditors that are not prohibited by law.</w:t>
      </w:r>
    </w:p>
    <w:p>
      <w:pPr>
        <w:spacing w:after="0" w:line="117" w:lineRule="exact"/>
        <w:rPr>
          <w:sz w:val="20"/>
          <w:szCs w:val="20"/>
          <w:color w:val="auto"/>
        </w:rPr>
      </w:pPr>
    </w:p>
    <w:p>
      <w:pPr>
        <w:ind w:left="7" w:right="60" w:firstLine="360"/>
        <w:spacing w:after="0" w:line="282" w:lineRule="auto"/>
        <w:rPr>
          <w:sz w:val="20"/>
          <w:szCs w:val="20"/>
          <w:color w:val="auto"/>
        </w:rPr>
      </w:pPr>
      <w:r>
        <w:rPr>
          <w:rFonts w:ascii="Times New Roman" w:cs="Times New Roman" w:eastAsia="Times New Roman" w:hAnsi="Times New Roman"/>
          <w:sz w:val="18"/>
          <w:szCs w:val="18"/>
          <w:color w:val="auto"/>
        </w:rPr>
        <w:t>Our Audit Committee charter requires that each member must be independent. We consider the members to be independent as long as they:</w:t>
      </w:r>
    </w:p>
    <w:p>
      <w:pPr>
        <w:spacing w:after="0" w:line="54" w:lineRule="exact"/>
        <w:rPr>
          <w:sz w:val="20"/>
          <w:szCs w:val="20"/>
          <w:color w:val="auto"/>
        </w:rPr>
      </w:pPr>
    </w:p>
    <w:p>
      <w:pPr>
        <w:ind w:left="707" w:right="320" w:hanging="356"/>
        <w:spacing w:after="0" w:line="282" w:lineRule="auto"/>
        <w:tabs>
          <w:tab w:leader="none" w:pos="7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accept any consulting, advisory or other compensatory fee from us, except in connection with their service as a Director;</w:t>
      </w:r>
    </w:p>
    <w:p>
      <w:pPr>
        <w:spacing w:after="0" w:line="53" w:lineRule="exact"/>
        <w:rPr>
          <w:rFonts w:ascii="Times New Roman" w:cs="Times New Roman" w:eastAsia="Times New Roman" w:hAnsi="Times New Roman"/>
          <w:sz w:val="18"/>
          <w:szCs w:val="18"/>
          <w:color w:val="auto"/>
        </w:rPr>
      </w:pPr>
    </w:p>
    <w:p>
      <w:pPr>
        <w:ind w:left="707" w:hanging="356"/>
        <w:spacing w:after="0"/>
        <w:tabs>
          <w:tab w:leader="none" w:pos="7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an affiliate of Ionis or one of its subsidiaries; and</w:t>
      </w:r>
    </w:p>
    <w:p>
      <w:pPr>
        <w:spacing w:after="0" w:line="117" w:lineRule="exact"/>
        <w:rPr>
          <w:rFonts w:ascii="Times New Roman" w:cs="Times New Roman" w:eastAsia="Times New Roman" w:hAnsi="Times New Roman"/>
          <w:sz w:val="18"/>
          <w:szCs w:val="18"/>
          <w:color w:val="auto"/>
        </w:rPr>
      </w:pPr>
    </w:p>
    <w:p>
      <w:pPr>
        <w:ind w:left="707" w:hanging="356"/>
        <w:spacing w:after="0"/>
        <w:tabs>
          <w:tab w:leader="none" w:pos="7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all of the other Nasdaq independence requirements.</w:t>
      </w:r>
    </w:p>
    <w:p>
      <w:pPr>
        <w:spacing w:after="0" w:line="117" w:lineRule="exact"/>
        <w:rPr>
          <w:sz w:val="20"/>
          <w:szCs w:val="20"/>
          <w:color w:val="auto"/>
        </w:rPr>
      </w:pPr>
    </w:p>
    <w:p>
      <w:pPr>
        <w:ind w:left="7" w:right="20" w:firstLine="360"/>
        <w:spacing w:after="0" w:line="261" w:lineRule="auto"/>
        <w:rPr>
          <w:sz w:val="20"/>
          <w:szCs w:val="20"/>
          <w:color w:val="auto"/>
        </w:rPr>
      </w:pPr>
      <w:r>
        <w:rPr>
          <w:rFonts w:ascii="Times New Roman" w:cs="Times New Roman" w:eastAsia="Times New Roman" w:hAnsi="Times New Roman"/>
          <w:sz w:val="18"/>
          <w:szCs w:val="18"/>
          <w:color w:val="auto"/>
        </w:rPr>
        <w:t>In addition, all Audit Committee members must be financially literate and at least one member must be a “financial expert,” as defined by SEC regulations. Our Board has determined that the Audit Committee’s financial expert is Mr. Wender based on, among other things, his over 46 years of experience as an investment banker and consultant with Goldman, Sachs &amp; Co. We provide the Audit Committee with the funding it needs to perform its duties.</w:t>
      </w:r>
    </w:p>
    <w:p>
      <w:pPr>
        <w:spacing w:after="0" w:line="72" w:lineRule="exact"/>
        <w:rPr>
          <w:sz w:val="20"/>
          <w:szCs w:val="20"/>
          <w:color w:val="auto"/>
        </w:rPr>
      </w:pPr>
    </w:p>
    <w:p>
      <w:pPr>
        <w:ind w:left="7" w:firstLine="360"/>
        <w:spacing w:after="0" w:line="220" w:lineRule="auto"/>
        <w:rPr>
          <w:sz w:val="20"/>
          <w:szCs w:val="20"/>
          <w:color w:val="auto"/>
        </w:rPr>
      </w:pPr>
      <w:r>
        <w:rPr>
          <w:rFonts w:ascii="Times New Roman" w:cs="Times New Roman" w:eastAsia="Times New Roman" w:hAnsi="Times New Roman"/>
          <w:sz w:val="18"/>
          <w:szCs w:val="18"/>
          <w:color w:val="auto"/>
        </w:rPr>
        <w:t xml:space="preserve">In 2017, the Audit Committee met six times. The Board has adopted a written Audit Committee charter, which you can find on our corporate website at </w:t>
      </w:r>
      <w:r>
        <w:rPr>
          <w:rFonts w:ascii="Times New Roman" w:cs="Times New Roman" w:eastAsia="Times New Roman" w:hAnsi="Times New Roman"/>
          <w:sz w:val="18"/>
          <w:szCs w:val="18"/>
          <w:u w:val="single" w:color="auto"/>
          <w:color w:val="auto"/>
        </w:rPr>
        <w:t>www.ionispharma.com</w:t>
      </w:r>
      <w:r>
        <w:rPr>
          <w:rFonts w:ascii="Times New Roman" w:cs="Times New Roman" w:eastAsia="Times New Roman" w:hAnsi="Times New Roman"/>
          <w:sz w:val="18"/>
          <w:szCs w:val="18"/>
          <w:color w:val="auto"/>
        </w:rPr>
        <w:t>.</w:t>
      </w:r>
      <w:r>
        <w:rPr>
          <w:rFonts w:ascii="Times New Roman" w:cs="Times New Roman" w:eastAsia="Times New Roman" w:hAnsi="Times New Roman"/>
          <w:sz w:val="27"/>
          <w:szCs w:val="27"/>
          <w:u w:val="single" w:color="auto"/>
          <w:color w:val="0000EE"/>
          <w:vertAlign w:val="superscript"/>
        </w:rPr>
        <w:t>3</w:t>
      </w:r>
      <w:r>
        <w:rPr>
          <w:rFonts w:ascii="Times New Roman" w:cs="Times New Roman" w:eastAsia="Times New Roman" w:hAnsi="Times New Roman"/>
          <w:sz w:val="18"/>
          <w:szCs w:val="18"/>
          <w:color w:val="auto"/>
        </w:rPr>
        <w:t xml:space="preserve"> Each member meets the membership criteria set forth in the Audit Committee charter and as stated above.</w:t>
      </w:r>
    </w:p>
    <w:p>
      <w:pPr>
        <w:spacing w:after="0" w:line="19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7" w:right="160" w:firstLine="360"/>
        <w:spacing w:after="0" w:line="261" w:lineRule="auto"/>
        <w:rPr>
          <w:sz w:val="20"/>
          <w:szCs w:val="20"/>
          <w:color w:val="auto"/>
        </w:rPr>
      </w:pPr>
      <w:r>
        <w:rPr>
          <w:rFonts w:ascii="Times New Roman" w:cs="Times New Roman" w:eastAsia="Times New Roman" w:hAnsi="Times New Roman"/>
          <w:sz w:val="18"/>
          <w:szCs w:val="18"/>
          <w:color w:val="auto"/>
        </w:rPr>
        <w:t>The primary function of the Compensation Committee of the Board is to review, modify (as needed) and approve our overall compensation strategy and policies and approve the compensation and other terms of employment of our executive officers, including our Chief Executive Officer. We include a full list of the Compensation Committee’s responsibilities as part of the Compensation Discussion and Analysis (“CD&amp;A”)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909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50" w:lineRule="exact"/>
        <w:rPr>
          <w:sz w:val="20"/>
          <w:szCs w:val="20"/>
          <w:color w:val="auto"/>
        </w:rPr>
      </w:pPr>
    </w:p>
    <w:p>
      <w:pPr>
        <w:ind w:left="167" w:right="40" w:hanging="167"/>
        <w:spacing w:after="0" w:line="182" w:lineRule="auto"/>
        <w:tabs>
          <w:tab w:leader="none" w:pos="167" w:val="left"/>
        </w:tabs>
        <w:numPr>
          <w:ilvl w:val="0"/>
          <w:numId w:val="2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Any information that is included on or linked to our website is not part of this Proxy Statement or any registration statement or report that incorporates this Proxy Statement by reference.</w:t>
      </w:r>
    </w:p>
    <w:p>
      <w:pPr>
        <w:spacing w:after="0" w:line="182"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7"/>
          </w:cols>
          <w:pgMar w:left="1173" w:top="277" w:right="1219" w:bottom="1440" w:gutter="0" w:footer="0" w:header="0"/>
        </w:sectPr>
      </w:pPr>
    </w:p>
    <w:bookmarkStart w:id="14" w:name="page15"/>
    <w:bookmarkEnd w:id="14"/>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7" w:right="10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forth on pages </w:t>
      </w:r>
      <w:hyperlink w:anchor="page27">
        <w:r>
          <w:rPr>
            <w:rFonts w:ascii="Times New Roman" w:cs="Times New Roman" w:eastAsia="Times New Roman" w:hAnsi="Times New Roman"/>
            <w:sz w:val="17"/>
            <w:szCs w:val="17"/>
            <w:u w:val="single" w:color="auto"/>
            <w:color w:val="0000EE"/>
          </w:rPr>
          <w:t>24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through </w:t>
      </w:r>
      <w:hyperlink w:anchor="page27">
        <w:r>
          <w:rPr>
            <w:rFonts w:ascii="Times New Roman" w:cs="Times New Roman" w:eastAsia="Times New Roman" w:hAnsi="Times New Roman"/>
            <w:sz w:val="17"/>
            <w:szCs w:val="17"/>
            <w:u w:val="single" w:color="auto"/>
            <w:color w:val="0000EE"/>
          </w:rPr>
          <w:t>45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of this Proxy Statement. The charter of the Compensation Committee grants the Compensation Committee full access to all of our books, records, facilities and personnel, and authority to obtain, at our expense, advice and assistance from internal and external legal, accounting or other advisors and consultants and other external resources that the Compensation Committee considers necessary or appropriate in the performance of its duties. In particular, the Compensation Committee has the sole authority to retain independent compensation consultants to help the Compensation Committee evaluate executive and Director compensation, including the authority to approve the consultants’ reasonable fees and other retention terms.</w:t>
      </w:r>
    </w:p>
    <w:p>
      <w:pPr>
        <w:spacing w:after="0" w:line="65" w:lineRule="exact"/>
        <w:rPr>
          <w:sz w:val="20"/>
          <w:szCs w:val="20"/>
          <w:color w:val="auto"/>
        </w:rPr>
      </w:pPr>
    </w:p>
    <w:p>
      <w:pPr>
        <w:jc w:val="both"/>
        <w:ind w:left="7" w:right="320" w:firstLine="360"/>
        <w:spacing w:after="0" w:line="266" w:lineRule="auto"/>
        <w:rPr>
          <w:sz w:val="20"/>
          <w:szCs w:val="20"/>
          <w:color w:val="auto"/>
        </w:rPr>
      </w:pPr>
      <w:r>
        <w:rPr>
          <w:rFonts w:ascii="Times New Roman" w:cs="Times New Roman" w:eastAsia="Times New Roman" w:hAnsi="Times New Roman"/>
          <w:sz w:val="18"/>
          <w:szCs w:val="18"/>
          <w:color w:val="auto"/>
        </w:rPr>
        <w:t>We also have a Non-Management Stock Option Committee that, as delegated by the Compensation Committee, may award stock options and RSUs to employees who are below director level in accordance with guidelines adopted by the Compensation Committee. The Non-Management Stock Option Committee has one member, Dr. Crooke.</w:t>
      </w:r>
    </w:p>
    <w:p>
      <w:pPr>
        <w:spacing w:after="0" w:line="68" w:lineRule="exact"/>
        <w:rPr>
          <w:sz w:val="20"/>
          <w:szCs w:val="20"/>
          <w:color w:val="auto"/>
        </w:rPr>
      </w:pPr>
    </w:p>
    <w:p>
      <w:pPr>
        <w:ind w:left="7" w:right="520" w:firstLine="360"/>
        <w:spacing w:after="0" w:line="271" w:lineRule="auto"/>
        <w:rPr>
          <w:sz w:val="20"/>
          <w:szCs w:val="20"/>
          <w:color w:val="auto"/>
        </w:rPr>
      </w:pPr>
      <w:r>
        <w:rPr>
          <w:rFonts w:ascii="Times New Roman" w:cs="Times New Roman" w:eastAsia="Times New Roman" w:hAnsi="Times New Roman"/>
          <w:sz w:val="17"/>
          <w:szCs w:val="17"/>
          <w:color w:val="auto"/>
        </w:rPr>
        <w:t xml:space="preserve">The Compensation Committee met four times in 2017 and acted by unanimous written consent 11 times. The Board has adopted a written Compensation Committee charter, which you can find on our corporate website at </w:t>
      </w:r>
      <w:r>
        <w:rPr>
          <w:rFonts w:ascii="Times New Roman" w:cs="Times New Roman" w:eastAsia="Times New Roman" w:hAnsi="Times New Roman"/>
          <w:sz w:val="17"/>
          <w:szCs w:val="17"/>
          <w:u w:val="single" w:color="auto"/>
          <w:color w:val="auto"/>
        </w:rPr>
        <w:t>www.ionispharma.com</w:t>
      </w:r>
      <w:r>
        <w:rPr>
          <w:rFonts w:ascii="Times New Roman" w:cs="Times New Roman" w:eastAsia="Times New Roman" w:hAnsi="Times New Roman"/>
          <w:sz w:val="17"/>
          <w:szCs w:val="17"/>
          <w:color w:val="auto"/>
        </w:rPr>
        <w:t>.</w:t>
      </w:r>
      <w:r>
        <w:rPr>
          <w:rFonts w:ascii="Times New Roman" w:cs="Times New Roman" w:eastAsia="Times New Roman" w:hAnsi="Times New Roman"/>
          <w:sz w:val="26"/>
          <w:szCs w:val="26"/>
          <w:u w:val="single" w:color="auto"/>
          <w:color w:val="0000EE"/>
          <w:vertAlign w:val="superscript"/>
        </w:rPr>
        <w:t>4</w:t>
      </w:r>
    </w:p>
    <w:p>
      <w:pPr>
        <w:spacing w:after="0" w:line="2" w:lineRule="exact"/>
        <w:rPr>
          <w:sz w:val="20"/>
          <w:szCs w:val="20"/>
          <w:color w:val="auto"/>
        </w:rPr>
      </w:pPr>
    </w:p>
    <w:p>
      <w:pPr>
        <w:ind w:left="7" w:right="60" w:firstLine="360"/>
        <w:spacing w:after="0" w:line="259" w:lineRule="auto"/>
        <w:rPr>
          <w:sz w:val="20"/>
          <w:szCs w:val="20"/>
          <w:color w:val="auto"/>
        </w:rPr>
      </w:pPr>
      <w:r>
        <w:rPr>
          <w:rFonts w:ascii="Times New Roman" w:cs="Times New Roman" w:eastAsia="Times New Roman" w:hAnsi="Times New Roman"/>
          <w:sz w:val="18"/>
          <w:szCs w:val="18"/>
          <w:color w:val="auto"/>
        </w:rPr>
        <w:t>The Compensation Committee reviews with management Ionis’ CD&amp;A to consider whether to recommend that we include the CD&amp;A in our Proxy Statements and other filings.</w:t>
      </w:r>
    </w:p>
    <w:p>
      <w:pPr>
        <w:spacing w:after="0" w:line="17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7" w:right="100" w:firstLine="360"/>
        <w:spacing w:after="0" w:line="261" w:lineRule="auto"/>
        <w:rPr>
          <w:sz w:val="20"/>
          <w:szCs w:val="20"/>
          <w:color w:val="auto"/>
        </w:rPr>
      </w:pPr>
      <w:r>
        <w:rPr>
          <w:rFonts w:ascii="Times New Roman" w:cs="Times New Roman" w:eastAsia="Times New Roman" w:hAnsi="Times New Roman"/>
          <w:sz w:val="18"/>
          <w:szCs w:val="18"/>
          <w:color w:val="auto"/>
        </w:rPr>
        <w:t>As noted above, during the fiscal year ended December 31, 2017, our Compensation Committee was composed of Dr. Berthelsen and Mr. Wender. None of the members of the Compensation Committee has ever been an employee or officer of Ionis. None of our executive officers serves as a member of the board of directors or compensation committee of any other entity that has one or more executive officers serving as a member of our Board or Compensation Committee.</w:t>
      </w:r>
    </w:p>
    <w:p>
      <w:pPr>
        <w:spacing w:after="0" w:line="1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Nominating, Governance and Review Committee</w:t>
      </w:r>
    </w:p>
    <w:p>
      <w:pPr>
        <w:spacing w:after="0" w:line="121"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The Nominating, Governance and Review Committee of the Board is responsible for:</w:t>
      </w:r>
    </w:p>
    <w:p>
      <w:pPr>
        <w:spacing w:after="0" w:line="117" w:lineRule="exact"/>
        <w:rPr>
          <w:sz w:val="20"/>
          <w:szCs w:val="20"/>
          <w:color w:val="auto"/>
        </w:rPr>
      </w:pPr>
    </w:p>
    <w:p>
      <w:pPr>
        <w:ind w:left="707" w:right="500" w:hanging="356"/>
        <w:spacing w:after="0" w:line="282" w:lineRule="auto"/>
        <w:tabs>
          <w:tab w:leader="none" w:pos="7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interviewing, evaluating, nominating and recommending individuals for membership on our Board, and considering proposed changes to the Board for approval;</w:t>
      </w:r>
    </w:p>
    <w:p>
      <w:pPr>
        <w:spacing w:after="0" w:line="53" w:lineRule="exact"/>
        <w:rPr>
          <w:rFonts w:ascii="Times New Roman" w:cs="Times New Roman" w:eastAsia="Times New Roman" w:hAnsi="Times New Roman"/>
          <w:sz w:val="18"/>
          <w:szCs w:val="18"/>
          <w:color w:val="auto"/>
        </w:rPr>
      </w:pPr>
    </w:p>
    <w:p>
      <w:pPr>
        <w:ind w:left="707" w:right="200" w:hanging="356"/>
        <w:spacing w:after="0" w:line="282" w:lineRule="auto"/>
        <w:tabs>
          <w:tab w:leader="none" w:pos="7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risks associated with the independence of the Board and potential conflicts of interests at the Board level, and periodically reviewing our policies and procedures and making recommendations when appropriate; and</w:t>
      </w:r>
    </w:p>
    <w:p>
      <w:pPr>
        <w:spacing w:after="0" w:line="53" w:lineRule="exact"/>
        <w:rPr>
          <w:rFonts w:ascii="Times New Roman" w:cs="Times New Roman" w:eastAsia="Times New Roman" w:hAnsi="Times New Roman"/>
          <w:sz w:val="18"/>
          <w:szCs w:val="18"/>
          <w:color w:val="auto"/>
        </w:rPr>
      </w:pPr>
    </w:p>
    <w:p>
      <w:pPr>
        <w:ind w:left="707" w:hanging="356"/>
        <w:spacing w:after="0"/>
        <w:tabs>
          <w:tab w:leader="none" w:pos="7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functions as may be necessary or convenient for the efficient discharge of the foregoing.</w:t>
      </w:r>
    </w:p>
    <w:p>
      <w:pPr>
        <w:spacing w:after="0" w:line="117" w:lineRule="exact"/>
        <w:rPr>
          <w:sz w:val="20"/>
          <w:szCs w:val="20"/>
          <w:color w:val="auto"/>
        </w:rPr>
      </w:pPr>
    </w:p>
    <w:p>
      <w:pPr>
        <w:ind w:left="7" w:right="160" w:firstLine="360"/>
        <w:spacing w:after="0" w:line="275" w:lineRule="auto"/>
        <w:rPr>
          <w:sz w:val="20"/>
          <w:szCs w:val="20"/>
          <w:color w:val="auto"/>
        </w:rPr>
      </w:pPr>
      <w:r>
        <w:rPr>
          <w:rFonts w:ascii="Times New Roman" w:cs="Times New Roman" w:eastAsia="Times New Roman" w:hAnsi="Times New Roman"/>
          <w:sz w:val="18"/>
          <w:szCs w:val="18"/>
          <w:color w:val="auto"/>
        </w:rPr>
        <w:t xml:space="preserve">The Nominating, Governance and Review Committee met two times during 2017. You can find our Nominating, Governance and Review Committee charter on our corporate website at </w:t>
      </w:r>
      <w:r>
        <w:rPr>
          <w:rFonts w:ascii="Times New Roman" w:cs="Times New Roman" w:eastAsia="Times New Roman" w:hAnsi="Times New Roman"/>
          <w:sz w:val="18"/>
          <w:szCs w:val="18"/>
          <w:u w:val="single" w:color="auto"/>
          <w:color w:val="auto"/>
        </w:rPr>
        <w:t>www.ionispharma.com</w:t>
      </w:r>
      <w:r>
        <w:rPr>
          <w:rFonts w:ascii="Times New Roman" w:cs="Times New Roman" w:eastAsia="Times New Roman" w:hAnsi="Times New Roman"/>
          <w:sz w:val="18"/>
          <w:szCs w:val="18"/>
          <w:color w:val="auto"/>
        </w:rPr>
        <w:t>.</w:t>
      </w:r>
      <w:r>
        <w:rPr>
          <w:rFonts w:ascii="Times New Roman" w:cs="Times New Roman" w:eastAsia="Times New Roman" w:hAnsi="Times New Roman"/>
          <w:sz w:val="27"/>
          <w:szCs w:val="27"/>
          <w:u w:val="single" w:color="auto"/>
          <w:color w:val="0000EE"/>
          <w:vertAlign w:val="superscript"/>
        </w:rPr>
        <w:t>5</w:t>
      </w:r>
    </w:p>
    <w:p>
      <w:pPr>
        <w:spacing w:after="0" w:line="53"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i w:val="1"/>
          <w:iCs w:val="1"/>
          <w:color w:val="auto"/>
        </w:rPr>
        <w:t>Director Nominations - Quality Standards</w:t>
      </w:r>
    </w:p>
    <w:p>
      <w:pPr>
        <w:spacing w:after="0" w:line="119" w:lineRule="exact"/>
        <w:rPr>
          <w:sz w:val="20"/>
          <w:szCs w:val="20"/>
          <w:color w:val="auto"/>
        </w:rPr>
      </w:pPr>
    </w:p>
    <w:p>
      <w:pPr>
        <w:ind w:left="7" w:firstLine="360"/>
        <w:spacing w:after="0" w:line="266" w:lineRule="auto"/>
        <w:rPr>
          <w:sz w:val="20"/>
          <w:szCs w:val="20"/>
          <w:color w:val="auto"/>
        </w:rPr>
      </w:pPr>
      <w:r>
        <w:rPr>
          <w:rFonts w:ascii="Times New Roman" w:cs="Times New Roman" w:eastAsia="Times New Roman" w:hAnsi="Times New Roman"/>
          <w:sz w:val="18"/>
          <w:szCs w:val="18"/>
          <w:color w:val="auto"/>
        </w:rPr>
        <w:t>The Nominating, Governance and Review Committee believes that candidates for Director should have certain minimum qualifications. As a result, the Board adopted membership standards and believes that the Board members should meet the minimum membership requirements listed below.</w:t>
      </w:r>
    </w:p>
    <w:p>
      <w:pPr>
        <w:spacing w:after="0" w:line="68"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The minimum membership requirements are as follows:</w:t>
      </w:r>
    </w:p>
    <w:p>
      <w:pPr>
        <w:spacing w:after="0" w:line="117" w:lineRule="exact"/>
        <w:rPr>
          <w:sz w:val="20"/>
          <w:szCs w:val="20"/>
          <w:color w:val="auto"/>
        </w:rPr>
      </w:pPr>
    </w:p>
    <w:p>
      <w:pPr>
        <w:ind w:left="707" w:hanging="356"/>
        <w:spacing w:after="0"/>
        <w:tabs>
          <w:tab w:leader="none" w:pos="70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must be able to read and understand basic financial statements;</w:t>
      </w:r>
    </w:p>
    <w:p>
      <w:pPr>
        <w:spacing w:after="0" w:line="117" w:lineRule="exact"/>
        <w:rPr>
          <w:rFonts w:ascii="Times New Roman" w:cs="Times New Roman" w:eastAsia="Times New Roman" w:hAnsi="Times New Roman"/>
          <w:sz w:val="18"/>
          <w:szCs w:val="18"/>
          <w:color w:val="auto"/>
        </w:rPr>
      </w:pPr>
    </w:p>
    <w:p>
      <w:pPr>
        <w:ind w:left="707" w:hanging="356"/>
        <w:spacing w:after="0"/>
        <w:tabs>
          <w:tab w:leader="none" w:pos="70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must demonstrate high personal integrity and ethics;</w:t>
      </w:r>
    </w:p>
    <w:p>
      <w:pPr>
        <w:spacing w:after="0" w:line="117" w:lineRule="exact"/>
        <w:rPr>
          <w:rFonts w:ascii="Times New Roman" w:cs="Times New Roman" w:eastAsia="Times New Roman" w:hAnsi="Times New Roman"/>
          <w:sz w:val="18"/>
          <w:szCs w:val="18"/>
          <w:color w:val="auto"/>
        </w:rPr>
      </w:pPr>
    </w:p>
    <w:p>
      <w:pPr>
        <w:ind w:left="707" w:hanging="356"/>
        <w:spacing w:after="0"/>
        <w:tabs>
          <w:tab w:leader="none" w:pos="70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cannot serve as a director on the board of more than five other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137795</wp:posOffset>
            </wp:positionV>
            <wp:extent cx="909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309" w:lineRule="exact"/>
        <w:rPr>
          <w:sz w:val="20"/>
          <w:szCs w:val="20"/>
          <w:color w:val="auto"/>
        </w:rPr>
      </w:pPr>
    </w:p>
    <w:p>
      <w:pPr>
        <w:ind w:left="167" w:right="80" w:hanging="167"/>
        <w:spacing w:after="0" w:line="182" w:lineRule="auto"/>
        <w:tabs>
          <w:tab w:leader="none" w:pos="167"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Any information that is included on or linked to our website is not part of this Proxy Statement or any registration statement or report that incorporates this Proxy Statement by reference.</w:t>
      </w:r>
    </w:p>
    <w:p>
      <w:pPr>
        <w:spacing w:after="0" w:line="83" w:lineRule="exact"/>
        <w:rPr>
          <w:sz w:val="20"/>
          <w:szCs w:val="20"/>
          <w:color w:val="auto"/>
        </w:rPr>
      </w:pPr>
    </w:p>
    <w:p>
      <w:pPr>
        <w:ind w:left="167" w:right="80" w:hanging="167"/>
        <w:spacing w:after="0" w:line="182" w:lineRule="auto"/>
        <w:tabs>
          <w:tab w:leader="none" w:pos="167" w:val="left"/>
        </w:tabs>
        <w:numPr>
          <w:ilvl w:val="0"/>
          <w:numId w:val="2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Any information that is included on or linked to our website is not part of this Proxy Statement or any registration statement or report that incorporates this Proxy Statement by reference.</w:t>
      </w:r>
    </w:p>
    <w:p>
      <w:pPr>
        <w:spacing w:after="0" w:line="18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7" w:right="11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700" w:right="440" w:hanging="356"/>
        <w:spacing w:after="0" w:line="282"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cannot serve more than ten consecutive terms on the Board, except that Stanley T. Crooke, a founder of the Company, may serve for no more than 15 consecutive terms; and</w:t>
      </w:r>
    </w:p>
    <w:p>
      <w:pPr>
        <w:spacing w:after="0" w:line="53"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cannot run for re-election or serve on the Board once they have reached the age of 80.</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to these minimum standards, the Nominating, Governance and Review Committee will consider such factors as:</w:t>
      </w:r>
    </w:p>
    <w:p>
      <w:pPr>
        <w:spacing w:after="0" w:line="117" w:lineRule="exact"/>
        <w:rPr>
          <w:sz w:val="20"/>
          <w:szCs w:val="20"/>
          <w:color w:val="auto"/>
        </w:rPr>
      </w:pPr>
    </w:p>
    <w:p>
      <w:pPr>
        <w:ind w:left="700" w:hanging="35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possessing relevant expertise to offer advice and guidance to management;</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sufficient time to devote to Ionis’ affairs;</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excellence in his or her field;</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sound business judgment; and</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committed to vigorously representing the long-term interests of our stockholders.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Director Nominations - Diversity Discussion</w:t>
      </w:r>
    </w:p>
    <w:p>
      <w:pPr>
        <w:spacing w:after="0" w:line="11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In considering Director nominations, the Nominating, Governance and Review Committee considers the total mix of competencies represented on the Board as a whole, as well as the competencies each member, or nominee brings to the Board. In general, our Board members’ experience falls into three large categories: (1) investment banking, financial accounting and corporate governance experience; (2) medical and scientific expertise; and (3) employee versus non-employee Directors. By selecting individuals who have investment banking, financial accounting and corporate governance backgrounds, we gain valuable experience that ensures we are managing our financial resources appropriately, reporting our financial results fairly and accurately, and generally running our business consistent with current good corporate practices. As a cutting edge drug discovery and development company, we also greatly benefit from Board members who themselves are scientists and medical doctors. This way we can set and adjust our strategy and objectives based on the results we generate from our research and development efforts. In different ways, these first two categories allow us to effectively manage our cash and make prudent investments in our technology to achieve the greatest likelihood of success. We try to evenly balance the Board members across these first two categories.</w:t>
      </w:r>
    </w:p>
    <w:p>
      <w:pPr>
        <w:spacing w:after="0" w:line="85" w:lineRule="exact"/>
        <w:rPr>
          <w:sz w:val="20"/>
          <w:szCs w:val="20"/>
          <w:color w:val="auto"/>
        </w:rPr>
      </w:pPr>
    </w:p>
    <w:p>
      <w:pPr>
        <w:ind w:right="160" w:firstLine="360"/>
        <w:spacing w:after="0" w:line="255" w:lineRule="auto"/>
        <w:rPr>
          <w:sz w:val="20"/>
          <w:szCs w:val="20"/>
          <w:color w:val="auto"/>
        </w:rPr>
      </w:pPr>
      <w:r>
        <w:rPr>
          <w:rFonts w:ascii="Times New Roman" w:cs="Times New Roman" w:eastAsia="Times New Roman" w:hAnsi="Times New Roman"/>
          <w:sz w:val="18"/>
          <w:szCs w:val="18"/>
          <w:color w:val="auto"/>
        </w:rPr>
        <w:t>Regarding the third category, a mix of employee and non-employee Directors offers different perspectives for the Board to consider when making decisions. Employee Directors can provide the Board valuable insight regarding our day-to-day operations, which can help the Board make important management and compensation decisions. Non-employee Directors can compare the opportunities and challenges presented to Ionis against the facts and circumstances these Directors are experiencing outside Ionis. We have a significantly higher number of non-employee Directors vs. employee Directors. Finally, we do not discriminate against nominees on the basis of gender, race, religion, national origin, sexual orientation, disability or any other basis prohibited by applicable law.</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Director Nominations - Process</w:t>
      </w:r>
    </w:p>
    <w:p>
      <w:pPr>
        <w:spacing w:after="0" w:line="119"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The Nominating, Governance and Review Committee will consider Director candidates our stockholders recommend. The Nominating, Governance and Review Committee does not intend to alter the manner in which it evaluates candidates, including the minimum criteria set forth above, based on whether or not a stockholder recommended the candidate.</w:t>
      </w:r>
    </w:p>
    <w:p>
      <w:pPr>
        <w:spacing w:after="0" w:line="68"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18"/>
          <w:szCs w:val="18"/>
          <w:color w:val="auto"/>
        </w:rPr>
        <w:t>The Nominating, Governance and Review Committee reviews new candidates for Director in the context of the Board’s composition, our operating requirements and our stockholders’ long-term interests. In conducting this assessment, the Nominating, Governance and Review Committee considers diversity, maturity, skills, the minimum membership requirements discussed above, and such other factors as it deems appropriate given the current needs of the Board and Ionis, to maintain a balance of knowledge, experience and capability. The Nominating, Governance and Review Committee then uses its network of contacts to compile a list of potential candidates, but may also engage, if it deems appropriate, a paid professional search firm. The Nominating, Governance and Review Committee conducts any appropriate and necessary inquiries into the backgrounds and qualifications of possible candidates after considering the function and needs of the Board. In the case 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incumbent Directors whose terms of office are set to expire, the Nominating, Governance and Review Committee reviews such Directors’ overall service to Ionis during their term, including the number of meetings attended, level of participation, quality of performance, and any other relationships and transactions that might impair such Directors’ independence.</w:t>
      </w:r>
    </w:p>
    <w:p>
      <w:pPr>
        <w:spacing w:after="0" w:line="68" w:lineRule="exact"/>
        <w:rPr>
          <w:sz w:val="20"/>
          <w:szCs w:val="20"/>
          <w:color w:val="auto"/>
        </w:rPr>
      </w:pPr>
    </w:p>
    <w:p>
      <w:pPr>
        <w:ind w:right="140" w:firstLine="360"/>
        <w:spacing w:after="0" w:line="261" w:lineRule="auto"/>
        <w:rPr>
          <w:sz w:val="20"/>
          <w:szCs w:val="20"/>
          <w:color w:val="auto"/>
        </w:rPr>
      </w:pPr>
      <w:r>
        <w:rPr>
          <w:rFonts w:ascii="Times New Roman" w:cs="Times New Roman" w:eastAsia="Times New Roman" w:hAnsi="Times New Roman"/>
          <w:sz w:val="18"/>
          <w:szCs w:val="18"/>
          <w:color w:val="auto"/>
        </w:rPr>
        <w:t>The Nominating, Governance and Review Committee meets to discuss and consider the candidates’ qualifications and determines whether each candidate is independent based upon applicable Nasdaq listing standards, SEC rules and regulations, and the advice of counsel, if necessary. Finally, the Nominating, Governance and Review Committee then selects a nominee for recommendation to the Board by majority vote.</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Stockholder Recommendations for Directors</w:t>
      </w:r>
    </w:p>
    <w:p>
      <w:pPr>
        <w:spacing w:after="0" w:line="119"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Stockholders who wish to recommend individuals for consideration by the Nominating, Governance and Review Committee to become nominees for election to the Board may do so by delivering a written recommendation to Ionis’ corporate secretary at the following address: 2855 Gazelle Court, Carlsbad, CA 92010. Submissions must include:</w:t>
      </w:r>
    </w:p>
    <w:p>
      <w:pPr>
        <w:spacing w:after="0" w:line="68" w:lineRule="exact"/>
        <w:rPr>
          <w:sz w:val="20"/>
          <w:szCs w:val="20"/>
          <w:color w:val="auto"/>
        </w:rPr>
      </w:pPr>
    </w:p>
    <w:p>
      <w:pPr>
        <w:ind w:left="700" w:hanging="35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the nominee;</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the nominee;</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ownership in Ionis of the nominee;</w:t>
      </w:r>
    </w:p>
    <w:p>
      <w:pPr>
        <w:spacing w:after="0" w:line="117" w:lineRule="exact"/>
        <w:rPr>
          <w:rFonts w:ascii="Times New Roman" w:cs="Times New Roman" w:eastAsia="Times New Roman" w:hAnsi="Times New Roman"/>
          <w:sz w:val="18"/>
          <w:szCs w:val="18"/>
          <w:color w:val="auto"/>
        </w:rPr>
      </w:pPr>
    </w:p>
    <w:p>
      <w:pPr>
        <w:ind w:left="700" w:right="120" w:hanging="356"/>
        <w:spacing w:after="0" w:line="282"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ownership in Ionis of the stockholder making the nomination, including any trading in derivative securities that may disguise ownership occurring within the last 12 months;</w:t>
      </w:r>
    </w:p>
    <w:p>
      <w:pPr>
        <w:spacing w:after="0" w:line="53" w:lineRule="exact"/>
        <w:rPr>
          <w:rFonts w:ascii="Times New Roman" w:cs="Times New Roman" w:eastAsia="Times New Roman" w:hAnsi="Times New Roman"/>
          <w:sz w:val="18"/>
          <w:szCs w:val="18"/>
          <w:color w:val="auto"/>
        </w:rPr>
      </w:pPr>
    </w:p>
    <w:p>
      <w:pPr>
        <w:ind w:left="700" w:right="660" w:hanging="356"/>
        <w:spacing w:after="0" w:line="282"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relating to the nominee that is required to be disclosed in solicitations of proxies under applicable securities laws;</w:t>
      </w:r>
    </w:p>
    <w:p>
      <w:pPr>
        <w:spacing w:after="0" w:line="53"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nominee’s written consent to being named in the Proxy Statement as a nominee and to serving as a Director if elected;</w:t>
      </w:r>
    </w:p>
    <w:p>
      <w:pPr>
        <w:spacing w:after="0" w:line="117" w:lineRule="exact"/>
        <w:rPr>
          <w:rFonts w:ascii="Times New Roman" w:cs="Times New Roman" w:eastAsia="Times New Roman" w:hAnsi="Times New Roman"/>
          <w:sz w:val="18"/>
          <w:szCs w:val="18"/>
          <w:color w:val="auto"/>
        </w:rPr>
      </w:pPr>
    </w:p>
    <w:p>
      <w:pPr>
        <w:ind w:left="700" w:right="340" w:hanging="356"/>
        <w:spacing w:after="0" w:line="266"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as we may reasonably require to determine the eligibility of the proposed nominee to serve as an independent Director or that could be material to a reasonable stockholder’s understanding of the independence of the proposed nominee; and</w:t>
      </w:r>
    </w:p>
    <w:p>
      <w:pPr>
        <w:spacing w:after="0" w:line="68"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commitments the nominee has to third parties.</w:t>
      </w:r>
    </w:p>
    <w:p>
      <w:pPr>
        <w:spacing w:after="0" w:line="117"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In addition, the nominee will need to complete a written questionnaire regarding the background and qualifications of the nominee, and the background of any other person or entity on whose behalf the nomination is being made. The nominee must also agree to comply with all of our applicable publicly disclosed corporate governance, conflict of interest, confidentiality and stock ownership and trading policies and guidelines. The description of the requirements for Director nomination set forth above is qualified in its entirety by reference to our full and complete bylaws, which is an exhibit to our Current Report on Form 8-K filed with the SEC on December 18, 2015, a copy of which is available by contacting our corporate secretary. To date, the Board has not received or rejected a timely Director nominee for election at the upcoming stockholder meeting from a stockholder or stockholders holding more than 5% of our voting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Committee</w:t>
      </w:r>
    </w:p>
    <w:p>
      <w:pPr>
        <w:spacing w:after="0" w:line="121" w:lineRule="exact"/>
        <w:rPr>
          <w:sz w:val="20"/>
          <w:szCs w:val="20"/>
          <w:color w:val="auto"/>
        </w:rPr>
      </w:pPr>
    </w:p>
    <w:p>
      <w:pPr>
        <w:jc w:val="both"/>
        <w:ind w:right="60" w:firstLine="360"/>
        <w:spacing w:after="0" w:line="266" w:lineRule="auto"/>
        <w:rPr>
          <w:sz w:val="20"/>
          <w:szCs w:val="20"/>
          <w:color w:val="auto"/>
        </w:rPr>
      </w:pPr>
      <w:r>
        <w:rPr>
          <w:rFonts w:ascii="Times New Roman" w:cs="Times New Roman" w:eastAsia="Times New Roman" w:hAnsi="Times New Roman"/>
          <w:sz w:val="18"/>
          <w:szCs w:val="18"/>
          <w:color w:val="auto"/>
        </w:rPr>
        <w:t>The primary function of the Agenda Committee of the Board is to determine the matters to be considered by the Board at each of its meetings and prepare an agenda accordingly. The Agenda Committee discussed in advance and set the agenda for each Board meeting held in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Science/Medical Committee</w:t>
      </w:r>
    </w:p>
    <w:p>
      <w:pPr>
        <w:spacing w:after="0" w:line="121" w:lineRule="exact"/>
        <w:rPr>
          <w:sz w:val="20"/>
          <w:szCs w:val="20"/>
          <w:color w:val="auto"/>
        </w:rPr>
      </w:pPr>
    </w:p>
    <w:p>
      <w:pPr>
        <w:ind w:right="280" w:firstLine="360"/>
        <w:spacing w:after="0" w:line="266" w:lineRule="auto"/>
        <w:rPr>
          <w:sz w:val="20"/>
          <w:szCs w:val="20"/>
          <w:color w:val="auto"/>
        </w:rPr>
      </w:pPr>
      <w:r>
        <w:rPr>
          <w:rFonts w:ascii="Times New Roman" w:cs="Times New Roman" w:eastAsia="Times New Roman" w:hAnsi="Times New Roman"/>
          <w:sz w:val="18"/>
          <w:szCs w:val="18"/>
          <w:color w:val="auto"/>
        </w:rPr>
        <w:t>The primary functions of the Science/Medical Committee of the Board are to focus on the key scientific and development issues facing our technology and drugs in development, and help set our strategy in such areas. The Science/Medical Committee met once in 2017.</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7" w:right="1199" w:bottom="1440" w:gutter="0" w:footer="0" w:header="0"/>
        </w:sectPr>
      </w:pPr>
    </w:p>
    <w:bookmarkStart w:id="17" w:name="page18"/>
    <w:bookmarkEnd w:id="17"/>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121" w:lineRule="exact"/>
        <w:rPr>
          <w:sz w:val="20"/>
          <w:szCs w:val="20"/>
          <w:color w:val="auto"/>
        </w:rPr>
      </w:pPr>
    </w:p>
    <w:p>
      <w:pPr>
        <w:ind w:left="7" w:firstLine="360"/>
        <w:spacing w:after="0" w:line="253" w:lineRule="auto"/>
        <w:rPr>
          <w:sz w:val="20"/>
          <w:szCs w:val="20"/>
          <w:color w:val="auto"/>
        </w:rPr>
      </w:pPr>
      <w:r>
        <w:rPr>
          <w:rFonts w:ascii="Times New Roman" w:cs="Times New Roman" w:eastAsia="Times New Roman" w:hAnsi="Times New Roman"/>
          <w:sz w:val="18"/>
          <w:szCs w:val="18"/>
          <w:color w:val="auto"/>
        </w:rPr>
        <w:t>We make every effort to ensure that our Board or individual Directors, as applicable, hear our stockholders’ views, and provide appropriate responses to stockholders in a timely manner. Stockholders who wish to communicate with the Board, or individual Directors, may do so by sending written communications addressed to Ionis’ corporate secretary at 2855 Gazelle Court, Carlsbad, CA 92010. If you wish to communicate with the independent Directors about your concerns or issues, you may address correspondence to a particular Director or to the independent Directors generally. If you do not name a particular Director, depending on the subject matter, we will forward the letter to the Chair of the Audit, Compensation, or Nominating, Governance and Review Committee. One or more of our employees designated by the Board will review these communications and will determine whether to present the materials to the Board. The purpose of this screening is to allow the Board to avoid having to consider irrelevant or inappropriate communications, such as advertisements, commercial solicitations and hostile communications. In accordance with our Code of Ethics and Business Conduct policy, all communications that relate to questionable accounting or auditing matters involving Ionis will be promptly and directly forwarded to the Audit Committee. Other than the processes described above, our Board has not adopted a formal written process for stockholder communications with the Board. We believe our Board’s responsiveness to stockholder communications has been excellent.</w:t>
      </w:r>
    </w:p>
    <w:p>
      <w:pPr>
        <w:spacing w:after="0" w:line="18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Code of Ethics and Business Conduct</w:t>
      </w:r>
    </w:p>
    <w:p>
      <w:pPr>
        <w:spacing w:after="0" w:line="121" w:lineRule="exact"/>
        <w:rPr>
          <w:sz w:val="20"/>
          <w:szCs w:val="20"/>
          <w:color w:val="auto"/>
        </w:rPr>
      </w:pPr>
    </w:p>
    <w:p>
      <w:pPr>
        <w:ind w:left="7" w:right="120"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Ethics and Business Conduct that applies to all officers, Directors and employees. We have posted our Code of Ethics and Business Conduct on our website. If we make any substantive amendments to the Code of Ethics and Business Conduct or grant any waiver from a provision of the Code of Ethics and Business Conduct to any executive officer or Director, we will promptly disclose the nature of the amendment or waiver on our website at </w:t>
      </w:r>
      <w:r>
        <w:rPr>
          <w:rFonts w:ascii="Times New Roman" w:cs="Times New Roman" w:eastAsia="Times New Roman" w:hAnsi="Times New Roman"/>
          <w:sz w:val="18"/>
          <w:szCs w:val="18"/>
          <w:u w:val="single" w:color="auto"/>
          <w:color w:val="auto"/>
        </w:rPr>
        <w:t>www.ionispharma.com</w:t>
      </w:r>
      <w:r>
        <w:rPr>
          <w:rFonts w:ascii="Times New Roman" w:cs="Times New Roman" w:eastAsia="Times New Roman" w:hAnsi="Times New Roman"/>
          <w:sz w:val="18"/>
          <w:szCs w:val="18"/>
          <w:color w:val="auto"/>
        </w:rPr>
        <w:t>.</w:t>
      </w:r>
      <w:r>
        <w:rPr>
          <w:rFonts w:ascii="Times New Roman" w:cs="Times New Roman" w:eastAsia="Times New Roman" w:hAnsi="Times New Roman"/>
          <w:sz w:val="27"/>
          <w:szCs w:val="27"/>
          <w:u w:val="single" w:color="auto"/>
          <w:color w:val="0000EE"/>
          <w:vertAlign w:val="superscript"/>
        </w:rPr>
        <w:t>6</w:t>
      </w:r>
    </w:p>
    <w:p>
      <w:pPr>
        <w:spacing w:after="0" w:line="6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7" w:right="80"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Board has adopted corporate governance guidelines to ensure that the Board will have the necessary authority and practices in place to review and evaluate our business operations as needed and to make decisions that are independent of our management. The guidelines are also intended to align our Directors’ and management’s interests with those of our stockholders. The corporate governance guidelines set forth the practices the Board intends to follow with respect to board composition and selection, board meetings and involvement of senior management, Chief Executive Officer performance evaluation, succession planning for Board committees and compensation, “clawbacks” of executive compensation, and share retention guidelines for our executive officers and Directors. The Board adopted the corporate governance guidelines to, among other things, reflect changes to the Nasdaq listing standards and SEC rules adopted to implement provisions of the Sarbanes-Oxley Act of 2002. You may view our corporate governance guidelines, as well as the charters for the Audit, Compensation and Nominating, Governance and Review committees at </w:t>
      </w:r>
      <w:r>
        <w:rPr>
          <w:rFonts w:ascii="Times New Roman" w:cs="Times New Roman" w:eastAsia="Times New Roman" w:hAnsi="Times New Roman"/>
          <w:sz w:val="18"/>
          <w:szCs w:val="18"/>
          <w:u w:val="single" w:color="auto"/>
          <w:color w:val="auto"/>
        </w:rPr>
        <w:t>www.ionispharma.com</w:t>
      </w:r>
      <w:r>
        <w:rPr>
          <w:rFonts w:ascii="Times New Roman" w:cs="Times New Roman" w:eastAsia="Times New Roman" w:hAnsi="Times New Roman"/>
          <w:sz w:val="18"/>
          <w:szCs w:val="18"/>
          <w:color w:val="auto"/>
        </w:rPr>
        <w:t>.</w:t>
      </w:r>
      <w:r>
        <w:rPr>
          <w:rFonts w:ascii="Times New Roman" w:cs="Times New Roman" w:eastAsia="Times New Roman" w:hAnsi="Times New Roman"/>
          <w:sz w:val="27"/>
          <w:szCs w:val="27"/>
          <w:u w:val="single" w:color="auto"/>
          <w:color w:val="0000EE"/>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909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47" w:lineRule="exact"/>
        <w:rPr>
          <w:sz w:val="20"/>
          <w:szCs w:val="20"/>
          <w:color w:val="auto"/>
        </w:rPr>
      </w:pPr>
    </w:p>
    <w:p>
      <w:pPr>
        <w:ind w:left="167" w:right="100" w:hanging="167"/>
        <w:spacing w:after="0" w:line="182" w:lineRule="auto"/>
        <w:tabs>
          <w:tab w:leader="none" w:pos="167" w:val="left"/>
        </w:tabs>
        <w:numPr>
          <w:ilvl w:val="0"/>
          <w:numId w:val="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Any information that is included on or linked to our website is not part of this Proxy Statement or any registration statement or report that incorporates this Proxy Statement by reference.</w:t>
      </w:r>
    </w:p>
    <w:p>
      <w:pPr>
        <w:spacing w:after="0" w:line="83" w:lineRule="exact"/>
        <w:rPr>
          <w:sz w:val="20"/>
          <w:szCs w:val="20"/>
          <w:color w:val="auto"/>
        </w:rPr>
      </w:pPr>
    </w:p>
    <w:p>
      <w:pPr>
        <w:ind w:left="167" w:right="100" w:hanging="167"/>
        <w:spacing w:after="0" w:line="182" w:lineRule="auto"/>
        <w:tabs>
          <w:tab w:leader="none" w:pos="167" w:val="left"/>
        </w:tabs>
        <w:numPr>
          <w:ilvl w:val="0"/>
          <w:numId w:val="3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Any information that is included on or linked to our website is not part of this Proxy Statement or any registration statement or report that incorporates this Proxy Statement by reference.</w:t>
      </w:r>
    </w:p>
    <w:p>
      <w:pPr>
        <w:spacing w:after="0" w:line="18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121" w:lineRule="exact"/>
        <w:rPr>
          <w:sz w:val="20"/>
          <w:szCs w:val="20"/>
          <w:color w:val="auto"/>
        </w:rPr>
      </w:pPr>
    </w:p>
    <w:p>
      <w:pPr>
        <w:ind w:right="520" w:firstLine="360"/>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called the “Dodd-Frank Act,” entitles Ionis’ stockholders to vote to approve, on an advisory (nonbinding) basis, the compensation of our Chief Executive Officer, Chief Financial Officer and our three other most highly compensated executive officers (at December 31, 2017), called our “named executive officers” as disclosed in this Proxy Statement in accordance with the SEC’s rules.</w:t>
      </w:r>
    </w:p>
    <w:p>
      <w:pPr>
        <w:spacing w:after="0" w:line="72"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our named executive officer compensation as described in this Proxy Statement. This Proposal 2, commonly known as a “say on pay” proposal, gives our stockholders the opportunity to express their views on the compensation paid to our named executive officers. This vote is not intended to address any specific item of compensation, but rather the overall compensation of our named executive officers and the philosophy, policies and practices described in this Proxy Statement. Accordingly, we are asking our stockholders to vote “FOR” the following resolution at the Annual Meeting:</w:t>
      </w:r>
    </w:p>
    <w:p>
      <w:pPr>
        <w:spacing w:after="0" w:line="76" w:lineRule="exact"/>
        <w:rPr>
          <w:sz w:val="20"/>
          <w:szCs w:val="20"/>
          <w:color w:val="auto"/>
        </w:rPr>
      </w:pPr>
    </w:p>
    <w:p>
      <w:pPr>
        <w:ind w:right="2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“RESOLVED, that Ionis’ stockholders approve, on an advisory basis, the compensation of the named executive officers, as disclosed in this Proxy Statement for the 2018 Annual Meeting of Stockholders pursuant to the compensation disclosure rules of the Securities and Exchange Commission.”</w:t>
      </w:r>
    </w:p>
    <w:p>
      <w:pPr>
        <w:spacing w:after="0" w:line="67" w:lineRule="exact"/>
        <w:rPr>
          <w:sz w:val="20"/>
          <w:szCs w:val="20"/>
          <w:color w:val="auto"/>
        </w:rPr>
      </w:pPr>
    </w:p>
    <w:p>
      <w:pPr>
        <w:ind w:firstLine="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recommend you carefully review the EXECUTIVE COMPENSATION section of this Proxy Statement located on pages </w:t>
      </w:r>
      <w:hyperlink w:anchor="page27">
        <w:r>
          <w:rPr>
            <w:rFonts w:ascii="Times New Roman" w:cs="Times New Roman" w:eastAsia="Times New Roman" w:hAnsi="Times New Roman"/>
            <w:sz w:val="18"/>
            <w:szCs w:val="18"/>
            <w:u w:val="single" w:color="auto"/>
            <w:color w:val="0000EE"/>
          </w:rPr>
          <w:t>24</w:t>
        </w:r>
      </w:hyperlink>
      <w:r>
        <w:rPr>
          <w:rFonts w:ascii="Times New Roman" w:cs="Times New Roman" w:eastAsia="Times New Roman" w:hAnsi="Times New Roman"/>
          <w:sz w:val="18"/>
          <w:szCs w:val="18"/>
          <w:color w:val="auto"/>
        </w:rPr>
        <w:t xml:space="preserve"> through </w:t>
      </w:r>
      <w:hyperlink w:anchor="page27">
        <w:r>
          <w:rPr>
            <w:rFonts w:ascii="Times New Roman" w:cs="Times New Roman" w:eastAsia="Times New Roman" w:hAnsi="Times New Roman"/>
            <w:sz w:val="18"/>
            <w:szCs w:val="18"/>
            <w:u w:val="single" w:color="auto"/>
            <w:color w:val="0000EE"/>
          </w:rPr>
          <w:t>45</w:t>
        </w:r>
      </w:hyperlink>
      <w:r>
        <w:rPr>
          <w:rFonts w:ascii="Times New Roman" w:cs="Times New Roman" w:eastAsia="Times New Roman" w:hAnsi="Times New Roman"/>
          <w:sz w:val="18"/>
          <w:szCs w:val="18"/>
          <w:color w:val="auto"/>
        </w:rPr>
        <w:t>. Below is a high-level summary of some of our compensation practices. This summary is qualified by the detailed disclosure contained in the EXECUTIVE COMPENSATION section of this Proxy Statement.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right="240" w:firstLine="360"/>
        <w:spacing w:after="0" w:line="289" w:lineRule="auto"/>
        <w:rPr>
          <w:sz w:val="20"/>
          <w:szCs w:val="20"/>
          <w:color w:val="auto"/>
        </w:rPr>
      </w:pPr>
      <w:r>
        <w:rPr>
          <w:rFonts w:ascii="Times New Roman" w:cs="Times New Roman" w:eastAsia="Times New Roman" w:hAnsi="Times New Roman"/>
          <w:sz w:val="17"/>
          <w:szCs w:val="17"/>
          <w:color w:val="auto"/>
        </w:rPr>
        <w:t>The table below summarizes some of our executive compensation practices, both the practices we implement because we believe they are consistent with our vision and long-term stockholder value (see “What We Do” below), and those that we choose not to implement as we believe they are counter to our vision and long-term stockholder value (see “What We Don’t Do” below):</w:t>
      </w:r>
    </w:p>
    <w:tbl>
      <w:tblPr>
        <w:tblLayout w:type="fixed"/>
        <w:tblInd w:w="10" w:type="dxa"/>
        <w:tblCellMar>
          <w:top w:w="0" w:type="dxa"/>
          <w:left w:w="0" w:type="dxa"/>
          <w:bottom w:w="0" w:type="dxa"/>
          <w:right w:w="0" w:type="dxa"/>
        </w:tblCellMar>
      </w:tblPr>
      <w:tr>
        <w:trPr>
          <w:trHeight w:val="249"/>
        </w:trPr>
        <w:tc>
          <w:tcPr>
            <w:tcW w:w="4780" w:type="dxa"/>
            <w:vAlign w:val="bottom"/>
            <w:tcBorders>
              <w:top w:val="single" w:sz="8" w:color="auto"/>
              <w:left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4780" w:type="dxa"/>
            <w:vAlign w:val="bottom"/>
            <w:tcBorders>
              <w:top w:val="single" w:sz="8" w:color="auto"/>
              <w:bottom w:val="single" w:sz="8" w:color="auto"/>
              <w:right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What We Don’t Do</w:t>
            </w:r>
          </w:p>
        </w:tc>
      </w:tr>
      <w:tr>
        <w:trPr>
          <w:trHeight w:val="207"/>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Demand more of every employee: more commitment,</w:t>
            </w:r>
          </w:p>
        </w:tc>
        <w:tc>
          <w:tcPr>
            <w:tcW w:w="478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guarantee a cash bonus – cash bonuses can, and</w:t>
            </w:r>
          </w:p>
        </w:tc>
      </w:tr>
      <w:tr>
        <w:trPr>
          <w:trHeight w:val="216"/>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more knowledge, more intensity, more innovation, more</w:t>
            </w:r>
          </w:p>
        </w:tc>
        <w:tc>
          <w:tcPr>
            <w:tcW w:w="47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have been, zero</w:t>
            </w:r>
          </w:p>
        </w:tc>
      </w:tr>
      <w:tr>
        <w:trPr>
          <w:trHeight w:val="214"/>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productivity</w:t>
            </w:r>
          </w:p>
        </w:tc>
        <w:tc>
          <w:tcPr>
            <w:tcW w:w="4780" w:type="dxa"/>
            <w:vAlign w:val="bottom"/>
            <w:tcBorders>
              <w:right w:val="single" w:sz="8" w:color="auto"/>
            </w:tcBorders>
          </w:tcPr>
          <w:p>
            <w:pPr>
              <w:spacing w:after="0"/>
              <w:rPr>
                <w:sz w:val="18"/>
                <w:szCs w:val="18"/>
                <w:color w:val="auto"/>
              </w:rPr>
            </w:pPr>
          </w:p>
        </w:tc>
      </w:tr>
      <w:tr>
        <w:trPr>
          <w:trHeight w:val="243"/>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Reward productivity and performance</w:t>
            </w:r>
          </w:p>
        </w:tc>
        <w:tc>
          <w:tcPr>
            <w:tcW w:w="478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provide perquisites for any employees</w:t>
            </w:r>
          </w:p>
        </w:tc>
      </w:tr>
      <w:tr>
        <w:trPr>
          <w:trHeight w:val="245"/>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Recognize the value of long-term employees and low</w:t>
            </w:r>
          </w:p>
        </w:tc>
        <w:tc>
          <w:tcPr>
            <w:tcW w:w="478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provide “gross-up” payments, other than for</w:t>
            </w:r>
          </w:p>
        </w:tc>
      </w:tr>
      <w:tr>
        <w:trPr>
          <w:trHeight w:val="214"/>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turnover</w:t>
            </w:r>
          </w:p>
        </w:tc>
        <w:tc>
          <w:tcPr>
            <w:tcW w:w="47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relocation</w:t>
            </w:r>
          </w:p>
        </w:tc>
      </w:tr>
      <w:tr>
        <w:trPr>
          <w:trHeight w:val="245"/>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Use a balanced mix of fixed and variable cash incentives</w:t>
            </w:r>
          </w:p>
        </w:tc>
        <w:tc>
          <w:tcPr>
            <w:tcW w:w="478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allow pledging, shorting or hedging against our</w:t>
            </w:r>
          </w:p>
        </w:tc>
      </w:tr>
      <w:tr>
        <w:trPr>
          <w:trHeight w:val="214"/>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and long-term equity incentives</w:t>
            </w:r>
          </w:p>
        </w:tc>
        <w:tc>
          <w:tcPr>
            <w:tcW w:w="47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stock</w:t>
            </w:r>
          </w:p>
        </w:tc>
      </w:tr>
      <w:tr>
        <w:trPr>
          <w:trHeight w:val="245"/>
        </w:trPr>
        <w:tc>
          <w:tcPr>
            <w:tcW w:w="4780" w:type="dxa"/>
            <w:vAlign w:val="bottom"/>
            <w:tcBorders>
              <w:left w:val="single" w:sz="8" w:color="auto"/>
              <w:right w:val="single" w:sz="8" w:color="auto"/>
            </w:tcBorders>
          </w:tcPr>
          <w:p>
            <w:pPr>
              <w:ind w:left="120"/>
              <w:spacing w:after="0" w:line="245"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Evaluate compensation compared to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of</w:t>
            </w:r>
          </w:p>
        </w:tc>
        <w:tc>
          <w:tcPr>
            <w:tcW w:w="478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reprice or “cash-out” stock options without</w:t>
            </w:r>
          </w:p>
        </w:tc>
      </w:tr>
      <w:tr>
        <w:trPr>
          <w:trHeight w:val="214"/>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our peer group</w:t>
            </w:r>
          </w:p>
        </w:tc>
        <w:tc>
          <w:tcPr>
            <w:tcW w:w="47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stockholder approval</w:t>
            </w:r>
          </w:p>
        </w:tc>
      </w:tr>
      <w:tr>
        <w:trPr>
          <w:trHeight w:val="245"/>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Design our compensation philosophy and objectives to</w:t>
            </w:r>
          </w:p>
        </w:tc>
        <w:tc>
          <w:tcPr>
            <w:tcW w:w="4780" w:type="dxa"/>
            <w:vAlign w:val="bottom"/>
            <w:tcBorders>
              <w:right w:val="single" w:sz="8" w:color="auto"/>
            </w:tcBorders>
          </w:tcPr>
          <w:p>
            <w:pPr>
              <w:spacing w:after="0"/>
              <w:rPr>
                <w:sz w:val="21"/>
                <w:szCs w:val="21"/>
                <w:color w:val="auto"/>
              </w:rPr>
            </w:pPr>
          </w:p>
        </w:tc>
      </w:tr>
      <w:tr>
        <w:trPr>
          <w:trHeight w:val="214"/>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mitigate unnecessary or imprudent business risk taking</w:t>
            </w:r>
          </w:p>
        </w:tc>
        <w:tc>
          <w:tcPr>
            <w:tcW w:w="4780" w:type="dxa"/>
            <w:vAlign w:val="bottom"/>
            <w:tcBorders>
              <w:right w:val="single" w:sz="8" w:color="auto"/>
            </w:tcBorders>
          </w:tcPr>
          <w:p>
            <w:pPr>
              <w:spacing w:after="0"/>
              <w:rPr>
                <w:sz w:val="18"/>
                <w:szCs w:val="18"/>
                <w:color w:val="auto"/>
              </w:rPr>
            </w:pPr>
          </w:p>
        </w:tc>
      </w:tr>
      <w:tr>
        <w:trPr>
          <w:trHeight w:val="245"/>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Set explicit and demanding objectives at the beginning of</w:t>
            </w:r>
          </w:p>
        </w:tc>
        <w:tc>
          <w:tcPr>
            <w:tcW w:w="4780" w:type="dxa"/>
            <w:vAlign w:val="bottom"/>
            <w:tcBorders>
              <w:right w:val="single" w:sz="8" w:color="auto"/>
            </w:tcBorders>
          </w:tcPr>
          <w:p>
            <w:pPr>
              <w:spacing w:after="0"/>
              <w:rPr>
                <w:sz w:val="21"/>
                <w:szCs w:val="21"/>
                <w:color w:val="auto"/>
              </w:rPr>
            </w:pPr>
          </w:p>
        </w:tc>
      </w:tr>
      <w:tr>
        <w:trPr>
          <w:trHeight w:val="216"/>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each year from which we measure performance for the</w:t>
            </w:r>
          </w:p>
        </w:tc>
        <w:tc>
          <w:tcPr>
            <w:tcW w:w="4780" w:type="dxa"/>
            <w:vAlign w:val="bottom"/>
            <w:tcBorders>
              <w:right w:val="single" w:sz="8" w:color="auto"/>
            </w:tcBorders>
          </w:tcPr>
          <w:p>
            <w:pPr>
              <w:spacing w:after="0"/>
              <w:rPr>
                <w:sz w:val="18"/>
                <w:szCs w:val="18"/>
                <w:color w:val="auto"/>
              </w:rPr>
            </w:pPr>
          </w:p>
        </w:tc>
      </w:tr>
      <w:tr>
        <w:trPr>
          <w:trHeight w:val="214"/>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year</w:t>
            </w:r>
          </w:p>
        </w:tc>
        <w:tc>
          <w:tcPr>
            <w:tcW w:w="4780" w:type="dxa"/>
            <w:vAlign w:val="bottom"/>
            <w:tcBorders>
              <w:right w:val="single" w:sz="8" w:color="auto"/>
            </w:tcBorders>
          </w:tcPr>
          <w:p>
            <w:pPr>
              <w:spacing w:after="0"/>
              <w:rPr>
                <w:sz w:val="18"/>
                <w:szCs w:val="18"/>
                <w:color w:val="auto"/>
              </w:rPr>
            </w:pPr>
          </w:p>
        </w:tc>
      </w:tr>
      <w:tr>
        <w:trPr>
          <w:trHeight w:val="243"/>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Place a maximum limit on Performance MBOs</w:t>
            </w:r>
          </w:p>
        </w:tc>
        <w:tc>
          <w:tcPr>
            <w:tcW w:w="4780" w:type="dxa"/>
            <w:vAlign w:val="bottom"/>
            <w:tcBorders>
              <w:right w:val="single" w:sz="8" w:color="auto"/>
            </w:tcBorders>
          </w:tcPr>
          <w:p>
            <w:pPr>
              <w:spacing w:after="0"/>
              <w:rPr>
                <w:sz w:val="21"/>
                <w:szCs w:val="21"/>
                <w:color w:val="auto"/>
              </w:rPr>
            </w:pPr>
          </w:p>
        </w:tc>
      </w:tr>
      <w:tr>
        <w:trPr>
          <w:trHeight w:val="243"/>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Set a strict budget for equity awards and salary increases</w:t>
            </w:r>
          </w:p>
        </w:tc>
        <w:tc>
          <w:tcPr>
            <w:tcW w:w="4780" w:type="dxa"/>
            <w:vAlign w:val="bottom"/>
            <w:tcBorders>
              <w:right w:val="single" w:sz="8" w:color="auto"/>
            </w:tcBorders>
          </w:tcPr>
          <w:p>
            <w:pPr>
              <w:spacing w:after="0"/>
              <w:rPr>
                <w:sz w:val="21"/>
                <w:szCs w:val="21"/>
                <w:color w:val="auto"/>
              </w:rPr>
            </w:pPr>
          </w:p>
        </w:tc>
      </w:tr>
      <w:tr>
        <w:trPr>
          <w:trHeight w:val="245"/>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Set the size of equity awards based on individual and</w:t>
            </w:r>
          </w:p>
        </w:tc>
        <w:tc>
          <w:tcPr>
            <w:tcW w:w="4780" w:type="dxa"/>
            <w:vAlign w:val="bottom"/>
            <w:tcBorders>
              <w:right w:val="single" w:sz="8" w:color="auto"/>
            </w:tcBorders>
          </w:tcPr>
          <w:p>
            <w:pPr>
              <w:spacing w:after="0"/>
              <w:rPr>
                <w:sz w:val="21"/>
                <w:szCs w:val="21"/>
                <w:color w:val="auto"/>
              </w:rPr>
            </w:pPr>
          </w:p>
        </w:tc>
      </w:tr>
      <w:tr>
        <w:trPr>
          <w:trHeight w:val="214"/>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company performance</w:t>
            </w:r>
          </w:p>
        </w:tc>
        <w:tc>
          <w:tcPr>
            <w:tcW w:w="4780" w:type="dxa"/>
            <w:vAlign w:val="bottom"/>
            <w:tcBorders>
              <w:right w:val="single" w:sz="8" w:color="auto"/>
            </w:tcBorders>
          </w:tcPr>
          <w:p>
            <w:pPr>
              <w:spacing w:after="0"/>
              <w:rPr>
                <w:sz w:val="18"/>
                <w:szCs w:val="18"/>
                <w:color w:val="auto"/>
              </w:rPr>
            </w:pPr>
          </w:p>
        </w:tc>
      </w:tr>
      <w:tr>
        <w:trPr>
          <w:trHeight w:val="243"/>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Require minimum vesting periods for equity awards</w:t>
            </w:r>
          </w:p>
        </w:tc>
        <w:tc>
          <w:tcPr>
            <w:tcW w:w="4780" w:type="dxa"/>
            <w:vAlign w:val="bottom"/>
            <w:tcBorders>
              <w:right w:val="single" w:sz="8" w:color="auto"/>
            </w:tcBorders>
          </w:tcPr>
          <w:p>
            <w:pPr>
              <w:spacing w:after="0"/>
              <w:rPr>
                <w:sz w:val="21"/>
                <w:szCs w:val="21"/>
                <w:color w:val="auto"/>
              </w:rPr>
            </w:pPr>
          </w:p>
        </w:tc>
      </w:tr>
      <w:tr>
        <w:trPr>
          <w:trHeight w:val="245"/>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equity holding periods that require our named</w:t>
            </w:r>
          </w:p>
        </w:tc>
        <w:tc>
          <w:tcPr>
            <w:tcW w:w="4780" w:type="dxa"/>
            <w:vAlign w:val="bottom"/>
            <w:tcBorders>
              <w:right w:val="single" w:sz="8" w:color="auto"/>
            </w:tcBorders>
          </w:tcPr>
          <w:p>
            <w:pPr>
              <w:spacing w:after="0"/>
              <w:rPr>
                <w:sz w:val="21"/>
                <w:szCs w:val="21"/>
                <w:color w:val="auto"/>
              </w:rPr>
            </w:pPr>
          </w:p>
        </w:tc>
      </w:tr>
      <w:tr>
        <w:trPr>
          <w:trHeight w:val="216"/>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executive officers and non-employee Board members to</w:t>
            </w:r>
          </w:p>
        </w:tc>
        <w:tc>
          <w:tcPr>
            <w:tcW w:w="4780" w:type="dxa"/>
            <w:vAlign w:val="bottom"/>
            <w:tcBorders>
              <w:right w:val="single" w:sz="8" w:color="auto"/>
            </w:tcBorders>
          </w:tcPr>
          <w:p>
            <w:pPr>
              <w:spacing w:after="0"/>
              <w:rPr>
                <w:sz w:val="18"/>
                <w:szCs w:val="18"/>
                <w:color w:val="auto"/>
              </w:rPr>
            </w:pPr>
          </w:p>
        </w:tc>
      </w:tr>
      <w:tr>
        <w:trPr>
          <w:trHeight w:val="216"/>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hold shares received from their RSUs until they meet</w:t>
            </w:r>
          </w:p>
        </w:tc>
        <w:tc>
          <w:tcPr>
            <w:tcW w:w="4780" w:type="dxa"/>
            <w:vAlign w:val="bottom"/>
            <w:tcBorders>
              <w:right w:val="single" w:sz="8" w:color="auto"/>
            </w:tcBorders>
          </w:tcPr>
          <w:p>
            <w:pPr>
              <w:spacing w:after="0"/>
              <w:rPr>
                <w:sz w:val="18"/>
                <w:szCs w:val="18"/>
                <w:color w:val="auto"/>
              </w:rPr>
            </w:pPr>
          </w:p>
        </w:tc>
      </w:tr>
      <w:tr>
        <w:trPr>
          <w:trHeight w:val="216"/>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certain ownership thresholds or no longer serve the</w:t>
            </w:r>
          </w:p>
        </w:tc>
        <w:tc>
          <w:tcPr>
            <w:tcW w:w="4780" w:type="dxa"/>
            <w:vAlign w:val="bottom"/>
            <w:tcBorders>
              <w:right w:val="single" w:sz="8" w:color="auto"/>
            </w:tcBorders>
          </w:tcPr>
          <w:p>
            <w:pPr>
              <w:spacing w:after="0"/>
              <w:rPr>
                <w:sz w:val="18"/>
                <w:szCs w:val="18"/>
                <w:color w:val="auto"/>
              </w:rPr>
            </w:pPr>
          </w:p>
        </w:tc>
      </w:tr>
      <w:tr>
        <w:trPr>
          <w:trHeight w:val="214"/>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Company</w:t>
            </w:r>
          </w:p>
        </w:tc>
        <w:tc>
          <w:tcPr>
            <w:tcW w:w="4780" w:type="dxa"/>
            <w:vAlign w:val="bottom"/>
            <w:tcBorders>
              <w:right w:val="single" w:sz="8" w:color="auto"/>
            </w:tcBorders>
          </w:tcPr>
          <w:p>
            <w:pPr>
              <w:spacing w:after="0"/>
              <w:rPr>
                <w:sz w:val="18"/>
                <w:szCs w:val="18"/>
                <w:color w:val="auto"/>
              </w:rPr>
            </w:pPr>
          </w:p>
        </w:tc>
      </w:tr>
      <w:tr>
        <w:trPr>
          <w:trHeight w:val="245"/>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equity holding periods that require our</w:t>
            </w:r>
          </w:p>
        </w:tc>
        <w:tc>
          <w:tcPr>
            <w:tcW w:w="4780" w:type="dxa"/>
            <w:vAlign w:val="bottom"/>
            <w:tcBorders>
              <w:right w:val="single" w:sz="8" w:color="auto"/>
            </w:tcBorders>
          </w:tcPr>
          <w:p>
            <w:pPr>
              <w:spacing w:after="0"/>
              <w:rPr>
                <w:sz w:val="21"/>
                <w:szCs w:val="21"/>
                <w:color w:val="auto"/>
              </w:rPr>
            </w:pPr>
          </w:p>
        </w:tc>
      </w:tr>
      <w:tr>
        <w:trPr>
          <w:trHeight w:val="216"/>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employees to hold ESPP shares for a minimum of six</w:t>
            </w:r>
          </w:p>
        </w:tc>
        <w:tc>
          <w:tcPr>
            <w:tcW w:w="4780" w:type="dxa"/>
            <w:vAlign w:val="bottom"/>
            <w:tcBorders>
              <w:right w:val="single" w:sz="8" w:color="auto"/>
            </w:tcBorders>
          </w:tcPr>
          <w:p>
            <w:pPr>
              <w:spacing w:after="0"/>
              <w:rPr>
                <w:sz w:val="18"/>
                <w:szCs w:val="18"/>
                <w:color w:val="auto"/>
              </w:rPr>
            </w:pPr>
          </w:p>
        </w:tc>
      </w:tr>
      <w:tr>
        <w:trPr>
          <w:trHeight w:val="214"/>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months</w:t>
            </w:r>
          </w:p>
        </w:tc>
        <w:tc>
          <w:tcPr>
            <w:tcW w:w="4780" w:type="dxa"/>
            <w:vAlign w:val="bottom"/>
            <w:tcBorders>
              <w:right w:val="single" w:sz="8" w:color="auto"/>
            </w:tcBorders>
          </w:tcPr>
          <w:p>
            <w:pPr>
              <w:spacing w:after="0"/>
              <w:rPr>
                <w:sz w:val="18"/>
                <w:szCs w:val="18"/>
                <w:color w:val="auto"/>
              </w:rPr>
            </w:pPr>
          </w:p>
        </w:tc>
      </w:tr>
      <w:tr>
        <w:trPr>
          <w:trHeight w:val="245"/>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Require our executive officers and VPs to trade Ionis’</w:t>
            </w:r>
          </w:p>
        </w:tc>
        <w:tc>
          <w:tcPr>
            <w:tcW w:w="4780" w:type="dxa"/>
            <w:vAlign w:val="bottom"/>
            <w:tcBorders>
              <w:right w:val="single" w:sz="8" w:color="auto"/>
            </w:tcBorders>
          </w:tcPr>
          <w:p>
            <w:pPr>
              <w:spacing w:after="0"/>
              <w:rPr>
                <w:sz w:val="21"/>
                <w:szCs w:val="21"/>
                <w:color w:val="auto"/>
              </w:rPr>
            </w:pPr>
          </w:p>
        </w:tc>
      </w:tr>
      <w:tr>
        <w:trPr>
          <w:trHeight w:val="214"/>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stock through Rule 10b5-1 trading plans</w:t>
            </w:r>
          </w:p>
        </w:tc>
        <w:tc>
          <w:tcPr>
            <w:tcW w:w="4780" w:type="dxa"/>
            <w:vAlign w:val="bottom"/>
            <w:tcBorders>
              <w:right w:val="single" w:sz="8" w:color="auto"/>
            </w:tcBorders>
          </w:tcPr>
          <w:p>
            <w:pPr>
              <w:spacing w:after="0"/>
              <w:rPr>
                <w:sz w:val="18"/>
                <w:szCs w:val="18"/>
                <w:color w:val="auto"/>
              </w:rPr>
            </w:pPr>
          </w:p>
        </w:tc>
      </w:tr>
      <w:tr>
        <w:trPr>
          <w:trHeight w:val="245"/>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Use a “double trigger” for cash payments for change of</w:t>
            </w:r>
          </w:p>
        </w:tc>
        <w:tc>
          <w:tcPr>
            <w:tcW w:w="4780" w:type="dxa"/>
            <w:vAlign w:val="bottom"/>
            <w:tcBorders>
              <w:right w:val="single" w:sz="8" w:color="auto"/>
            </w:tcBorders>
          </w:tcPr>
          <w:p>
            <w:pPr>
              <w:spacing w:after="0"/>
              <w:rPr>
                <w:sz w:val="21"/>
                <w:szCs w:val="21"/>
                <w:color w:val="auto"/>
              </w:rPr>
            </w:pPr>
          </w:p>
        </w:tc>
      </w:tr>
      <w:tr>
        <w:trPr>
          <w:trHeight w:val="214"/>
        </w:trPr>
        <w:tc>
          <w:tcPr>
            <w:tcW w:w="478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control</w:t>
            </w:r>
          </w:p>
        </w:tc>
        <w:tc>
          <w:tcPr>
            <w:tcW w:w="4780" w:type="dxa"/>
            <w:vAlign w:val="bottom"/>
            <w:tcBorders>
              <w:right w:val="single" w:sz="8" w:color="auto"/>
            </w:tcBorders>
          </w:tcPr>
          <w:p>
            <w:pPr>
              <w:spacing w:after="0"/>
              <w:rPr>
                <w:sz w:val="18"/>
                <w:szCs w:val="18"/>
                <w:color w:val="auto"/>
              </w:rPr>
            </w:pPr>
          </w:p>
        </w:tc>
      </w:tr>
      <w:tr>
        <w:trPr>
          <w:trHeight w:val="243"/>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Use an executive “claw-back” policy</w:t>
            </w:r>
          </w:p>
        </w:tc>
        <w:tc>
          <w:tcPr>
            <w:tcW w:w="4780" w:type="dxa"/>
            <w:vAlign w:val="bottom"/>
            <w:tcBorders>
              <w:right w:val="single" w:sz="8" w:color="auto"/>
            </w:tcBorders>
          </w:tcPr>
          <w:p>
            <w:pPr>
              <w:spacing w:after="0"/>
              <w:rPr>
                <w:sz w:val="21"/>
                <w:szCs w:val="21"/>
                <w:color w:val="auto"/>
              </w:rPr>
            </w:pPr>
          </w:p>
        </w:tc>
      </w:tr>
      <w:tr>
        <w:trPr>
          <w:trHeight w:val="245"/>
        </w:trPr>
        <w:tc>
          <w:tcPr>
            <w:tcW w:w="4780" w:type="dxa"/>
            <w:vAlign w:val="bottom"/>
            <w:tcBorders>
              <w:left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Use an independent compensation consultant engaged by</w:t>
            </w:r>
          </w:p>
        </w:tc>
        <w:tc>
          <w:tcPr>
            <w:tcW w:w="4780" w:type="dxa"/>
            <w:vAlign w:val="bottom"/>
            <w:tcBorders>
              <w:right w:val="single" w:sz="8" w:color="auto"/>
            </w:tcBorders>
          </w:tcPr>
          <w:p>
            <w:pPr>
              <w:spacing w:after="0"/>
              <w:rPr>
                <w:sz w:val="21"/>
                <w:szCs w:val="21"/>
                <w:color w:val="auto"/>
              </w:rPr>
            </w:pPr>
          </w:p>
        </w:tc>
      </w:tr>
      <w:tr>
        <w:trPr>
          <w:trHeight w:val="241"/>
        </w:trPr>
        <w:tc>
          <w:tcPr>
            <w:tcW w:w="478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Compensation Committee</w:t>
            </w:r>
          </w:p>
        </w:tc>
        <w:tc>
          <w:tcPr>
            <w:tcW w:w="478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CEO Compensation vs. Total Return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 Five Years)</w:t>
      </w:r>
    </w:p>
    <w:p>
      <w:pPr>
        <w:spacing w:after="0" w:line="84"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The graph below shows the relationship of our CEO’s compensation ($ in thousands) as calculated pursuant to SEC rules compared to the total return (TSR) on $100 invested on December 31, 2013 in our common stock through December 31, 2017. While stock price is only one of the measures of performance we use to set executive compensation, including for our CEO, over the past five-year period, our CEO’s compensation has generally aligned with our stock performance. Over this period, TSR has generally increased and has outperformed the Nasdaq Biotechnology Index, as reported in our 2017 Annual Report on Form 10-K. For 2016, however, Ionis’ one-year TSR was negative. Our CEO’s compensation for that period increased, largely due to an increase in the Company Performance Factor for the Performance MBO for 2016. Due to Ionis’ significant strategic and financial achievements during 2016, including exceeding many corporate objectives and accomplishing numerous unplanned achievements, the Compensation Committee felt that the increased Company Performance Factor was appropriate. Notably:</w:t>
      </w:r>
    </w:p>
    <w:p>
      <w:pPr>
        <w:spacing w:after="0" w:line="81" w:lineRule="exact"/>
        <w:rPr>
          <w:sz w:val="20"/>
          <w:szCs w:val="20"/>
          <w:color w:val="auto"/>
        </w:rPr>
      </w:pPr>
    </w:p>
    <w:p>
      <w:pPr>
        <w:ind w:left="700" w:hanging="356"/>
        <w:spacing w:after="0" w:line="255"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Ionis had a goal and measure related to SPINRAZA of filing and acceptance of the NDA and MAA for SPINRAZA with Biogen paying us the license fee to exercise its option to take a license to SPINRAZA. We not only achieved the stated goal, Ionis and Biogen </w:t>
      </w:r>
      <w:r>
        <w:rPr>
          <w:rFonts w:ascii="Times New Roman" w:cs="Times New Roman" w:eastAsia="Times New Roman" w:hAnsi="Times New Roman"/>
          <w:sz w:val="18"/>
          <w:szCs w:val="18"/>
          <w:i w:val="1"/>
          <w:iCs w:val="1"/>
          <w:color w:val="auto"/>
        </w:rPr>
        <w:t>achieved FDA approval</w:t>
      </w:r>
      <w:r>
        <w:rPr>
          <w:rFonts w:ascii="Times New Roman" w:cs="Times New Roman" w:eastAsia="Times New Roman" w:hAnsi="Times New Roman"/>
          <w:sz w:val="18"/>
          <w:szCs w:val="18"/>
          <w:color w:val="auto"/>
        </w:rPr>
        <w:t xml:space="preserve"> of SPINRAZA for the treatment of SMA in pediatric and adult patients. Achieving this approval so quickly (approximately three months from filing) for the broad patient population was an extraordinary achievement and greatly exceeded expectations for 2016, especially since NDA approvals for an orphan drug can typically take between 9-12 months from acceptance of the filing to approval, if at all. SPINRAZA’s approval and the commercial revenue associated with SPINRAZA was a reflection of the evolution of our business and our progress towards sustained profitability.</w:t>
      </w:r>
    </w:p>
    <w:p>
      <w:pPr>
        <w:spacing w:after="0" w:line="77" w:lineRule="exact"/>
        <w:rPr>
          <w:rFonts w:ascii="Times New Roman" w:cs="Times New Roman" w:eastAsia="Times New Roman" w:hAnsi="Times New Roman"/>
          <w:sz w:val="18"/>
          <w:szCs w:val="18"/>
          <w:color w:val="auto"/>
        </w:rPr>
      </w:pPr>
    </w:p>
    <w:p>
      <w:pPr>
        <w:jc w:val="both"/>
        <w:ind w:left="700" w:right="120" w:hanging="356"/>
        <w:spacing w:after="0" w:line="266"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Ionis and Akcea formed a strategic collaboration with Novartis to develop and commercialize AKCEA-APO(a)-L</w:t>
      </w:r>
      <w:r>
        <w:rPr>
          <w:rFonts w:ascii="Times New Roman" w:cs="Times New Roman" w:eastAsia="Times New Roman" w:hAnsi="Times New Roman"/>
          <w:sz w:val="13"/>
          <w:szCs w:val="13"/>
          <w:color w:val="auto"/>
        </w:rPr>
        <w:t>Rx</w:t>
      </w:r>
      <w:r>
        <w:rPr>
          <w:rFonts w:ascii="Times New Roman" w:cs="Times New Roman" w:eastAsia="Times New Roman" w:hAnsi="Times New Roman"/>
          <w:sz w:val="18"/>
          <w:szCs w:val="18"/>
          <w:color w:val="auto"/>
        </w:rPr>
        <w:t xml:space="preserve"> and AKCEA-APOCIII-L</w:t>
      </w:r>
      <w:r>
        <w:rPr>
          <w:rFonts w:ascii="Times New Roman" w:cs="Times New Roman" w:eastAsia="Times New Roman" w:hAnsi="Times New Roman"/>
          <w:sz w:val="13"/>
          <w:szCs w:val="13"/>
          <w:color w:val="auto"/>
        </w:rPr>
        <w:t>Rx</w:t>
      </w:r>
      <w:r>
        <w:rPr>
          <w:rFonts w:ascii="Times New Roman" w:cs="Times New Roman" w:eastAsia="Times New Roman" w:hAnsi="Times New Roman"/>
          <w:sz w:val="18"/>
          <w:szCs w:val="18"/>
          <w:color w:val="auto"/>
        </w:rPr>
        <w:t>, valued at over $1 billion plus potential product royalties, including $225 million in near term payments.</w:t>
      </w:r>
    </w:p>
    <w:p>
      <w:pPr>
        <w:spacing w:after="0" w:line="66" w:lineRule="exact"/>
        <w:rPr>
          <w:rFonts w:ascii="Times New Roman" w:cs="Times New Roman" w:eastAsia="Times New Roman" w:hAnsi="Times New Roman"/>
          <w:sz w:val="18"/>
          <w:szCs w:val="18"/>
          <w:color w:val="auto"/>
        </w:rPr>
      </w:pPr>
    </w:p>
    <w:p>
      <w:pPr>
        <w:ind w:left="700" w:right="60" w:hanging="356"/>
        <w:spacing w:after="0" w:line="284"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Ionis finished 2016 with pro forma operating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of $25.8 million, where when setting goals for 2016, it had projected a pro forma operating </w:t>
      </w:r>
      <w:r>
        <w:rPr>
          <w:rFonts w:ascii="Times New Roman" w:cs="Times New Roman" w:eastAsia="Times New Roman" w:hAnsi="Times New Roman"/>
          <w:sz w:val="18"/>
          <w:szCs w:val="18"/>
          <w:i w:val="1"/>
          <w:iCs w:val="1"/>
          <w:color w:val="auto"/>
        </w:rPr>
        <w:t>loss</w:t>
      </w:r>
      <w:r>
        <w:rPr>
          <w:rFonts w:ascii="Times New Roman" w:cs="Times New Roman" w:eastAsia="Times New Roman" w:hAnsi="Times New Roman"/>
          <w:sz w:val="18"/>
          <w:szCs w:val="18"/>
          <w:color w:val="auto"/>
        </w:rPr>
        <w:t xml:space="preserve"> in the low $60 million range, representing an improvement of more than 140%.</w:t>
      </w:r>
    </w:p>
    <w:p>
      <w:pPr>
        <w:spacing w:after="0" w:line="52" w:lineRule="exact"/>
        <w:rPr>
          <w:rFonts w:ascii="Times New Roman" w:cs="Times New Roman" w:eastAsia="Times New Roman" w:hAnsi="Times New Roman"/>
          <w:sz w:val="18"/>
          <w:szCs w:val="18"/>
          <w:color w:val="auto"/>
        </w:rPr>
      </w:pPr>
    </w:p>
    <w:p>
      <w:pPr>
        <w:ind w:left="700" w:right="140" w:hanging="356"/>
        <w:spacing w:after="0" w:line="282"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Ionis generated $347 million of revenue in 2016, compared to its guidance of $240 million, representing an improvement of 45%.</w:t>
      </w:r>
    </w:p>
    <w:p>
      <w:pPr>
        <w:spacing w:after="0" w:line="53"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Ionis ended 2016 with $665 million in cash, exceeding year end cash guidance by $65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21" w:name="page22"/>
    <w:bookmarkEnd w:id="21"/>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7" w:right="40" w:firstLine="360"/>
        <w:spacing w:after="0" w:line="27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Indeed, the many achievements of the Company in 2016 laid the foundation for a significant growth in revenue and operating income in 2017, as shown by the graphs on page </w:t>
      </w:r>
      <w:hyperlink w:anchor="page37">
        <w:r>
          <w:rPr>
            <w:rFonts w:ascii="Times New Roman" w:cs="Times New Roman" w:eastAsia="Times New Roman" w:hAnsi="Times New Roman"/>
            <w:sz w:val="17"/>
            <w:szCs w:val="17"/>
            <w:u w:val="single" w:color="auto"/>
            <w:color w:val="0000EE"/>
          </w:rPr>
          <w:t>34</w:t>
        </w:r>
      </w:hyperlink>
      <w:r>
        <w:rPr>
          <w:rFonts w:ascii="Times New Roman" w:cs="Times New Roman" w:eastAsia="Times New Roman" w:hAnsi="Times New Roman"/>
          <w:sz w:val="17"/>
          <w:szCs w:val="17"/>
          <w:color w:val="auto"/>
        </w:rPr>
        <w:t>. Ionis ended 2017 in a very strong financial position, with 2017 revenues exceeding $500 million, a more than 45% increase from 2016, and Ionis’ sixth consecutive year of revenue growth. For the second year in a row, Ionis was profitable, with pro forma operating profit in 2017 of more than $110 million, a more than 150% increase from 2016. Consistent with this strong record of performance, our stock price increased over the year; however, the Compensation Committee exercised its discretion to decrease the Corporate Performance Factor for 2017, as well as the Individual Performance Factor for our CEO and COO for 2017. As shown in the graph below, our CEO’s compensation aligned with TSR for 2017.</w:t>
      </w:r>
      <w:r>
        <w:rPr>
          <w:rFonts w:ascii="Times New Roman" w:cs="Times New Roman" w:eastAsia="Times New Roman" w:hAnsi="Times New Roman"/>
          <w:sz w:val="26"/>
          <w:szCs w:val="26"/>
          <w:u w:val="single" w:color="auto"/>
          <w:color w:val="0000EE"/>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-17780</wp:posOffset>
            </wp:positionV>
            <wp:extent cx="5274310" cy="32848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74310"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 w:right="60" w:firstLine="360"/>
        <w:spacing w:after="0" w:line="258" w:lineRule="auto"/>
        <w:rPr>
          <w:sz w:val="20"/>
          <w:szCs w:val="20"/>
          <w:color w:val="auto"/>
        </w:rPr>
      </w:pPr>
      <w:r>
        <w:rPr>
          <w:rFonts w:ascii="Times New Roman" w:cs="Times New Roman" w:eastAsia="Times New Roman" w:hAnsi="Times New Roman"/>
          <w:sz w:val="18"/>
          <w:szCs w:val="18"/>
          <w:color w:val="auto"/>
        </w:rPr>
        <w:t>The affirmative vote of a majority of the holders of shares present or represented by proxy at the Annual Meeting and entitled to vote on the matter is required to adopt the resolution. If you indicate on your proxy to “Abstain” from voting, it will have the same effect as a vote “Against” this Proposal 2. Brokers do not have discretion to vote uninstructed shares with respect to this Proposal 2. Accordingly, if brokers do not receive voting instructions from beneficial owners of the shares, they cannot vote the shares. Therefore, broker non-votes will not affect the outcome of the voting on this Proposal 2.</w:t>
      </w:r>
    </w:p>
    <w:p>
      <w:pPr>
        <w:spacing w:after="0" w:line="76" w:lineRule="exact"/>
        <w:rPr>
          <w:sz w:val="20"/>
          <w:szCs w:val="20"/>
          <w:color w:val="auto"/>
        </w:rPr>
      </w:pPr>
    </w:p>
    <w:p>
      <w:pPr>
        <w:ind w:left="7" w:firstLine="360"/>
        <w:spacing w:after="0" w:line="258" w:lineRule="auto"/>
        <w:rPr>
          <w:sz w:val="20"/>
          <w:szCs w:val="20"/>
          <w:color w:val="auto"/>
        </w:rPr>
      </w:pPr>
      <w:r>
        <w:rPr>
          <w:rFonts w:ascii="Times New Roman" w:cs="Times New Roman" w:eastAsia="Times New Roman" w:hAnsi="Times New Roman"/>
          <w:sz w:val="18"/>
          <w:szCs w:val="18"/>
          <w:color w:val="auto"/>
        </w:rPr>
        <w:t>The “say on pay” vote is advisory, and therefore is not binding on Ionis, the Compensation Committee or the Board. However, Ionis’ management, the Board and the Compensation Committee value the opinions of the stockholders. As such, if there is any significant vote against the named executive officers’ compensation as disclosed in this Proxy Statement, the Board will consider the stockholders’ concerns and the Board and Compensation Committee will evaluate whether any actions are necessary to address those concerns.</w:t>
      </w:r>
    </w:p>
    <w:p>
      <w:pPr>
        <w:spacing w:after="0" w:line="72"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APPROVAL OF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909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99" w:lineRule="exact"/>
        <w:rPr>
          <w:sz w:val="20"/>
          <w:szCs w:val="20"/>
          <w:color w:val="auto"/>
        </w:rPr>
      </w:pPr>
    </w:p>
    <w:p>
      <w:pPr>
        <w:ind w:left="167" w:right="40" w:hanging="167"/>
        <w:spacing w:after="0" w:line="194" w:lineRule="auto"/>
        <w:tabs>
          <w:tab w:leader="none" w:pos="167" w:val="left"/>
        </w:tabs>
        <w:numPr>
          <w:ilvl w:val="0"/>
          <w:numId w:val="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This graph is not “soliciting material,” is not deemed “filed” with the SEC, is not subject to the liabilities of Section 18 of the Exchange Act and is not to be incorporated by reference in any of our filings under the Securities Act of 1933, as amended (the “Securities Act”) or the Exchange Act, whether made before or after the date hereof and irrespective of any general incorporation language in any such filing.</w:t>
      </w:r>
    </w:p>
    <w:p>
      <w:pPr>
        <w:spacing w:after="0" w:line="182" w:lineRule="exact"/>
        <w:rPr>
          <w:sz w:val="20"/>
          <w:szCs w:val="20"/>
          <w:color w:val="auto"/>
        </w:rPr>
      </w:pPr>
    </w:p>
    <w:p>
      <w:pPr>
        <w:jc w:val="center"/>
        <w:ind w:right="-86"/>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7"/>
          </w:cols>
          <w:pgMar w:left="1173" w:top="277" w:right="1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AUDITORS</w:t>
      </w:r>
    </w:p>
    <w:p>
      <w:pPr>
        <w:spacing w:after="0" w:line="81" w:lineRule="exact"/>
        <w:rPr>
          <w:sz w:val="20"/>
          <w:szCs w:val="20"/>
          <w:color w:val="auto"/>
        </w:rPr>
      </w:pPr>
    </w:p>
    <w:p>
      <w:pPr>
        <w:ind w:right="380" w:firstLine="360"/>
        <w:spacing w:after="0" w:line="245" w:lineRule="auto"/>
        <w:rPr>
          <w:sz w:val="20"/>
          <w:szCs w:val="20"/>
          <w:color w:val="auto"/>
        </w:rPr>
      </w:pPr>
      <w:r>
        <w:rPr>
          <w:rFonts w:ascii="Times New Roman" w:cs="Times New Roman" w:eastAsia="Times New Roman" w:hAnsi="Times New Roman"/>
          <w:sz w:val="18"/>
          <w:szCs w:val="18"/>
          <w:color w:val="auto"/>
        </w:rPr>
        <w:t>The Audit Committee has selected Ernst &amp; Young LLP as our independent registered public accounting firm for our 2018 fiscal year, and has requested management to ask for stockholder ratification at the Annual Meeting. Ernst &amp; Young LLP has audited our financial statements since we were founded in 1989. Representatives of Ernst &amp; Young LLP will be at the Annual Meeting to answer any questions and make a statement should they desire to do so.</w:t>
      </w:r>
    </w:p>
    <w:p>
      <w:pPr>
        <w:spacing w:after="0" w:line="19" w:lineRule="exact"/>
        <w:rPr>
          <w:sz w:val="20"/>
          <w:szCs w:val="20"/>
          <w:color w:val="auto"/>
        </w:rPr>
      </w:pPr>
    </w:p>
    <w:p>
      <w:pPr>
        <w:ind w:firstLine="360"/>
        <w:spacing w:after="0" w:line="242" w:lineRule="auto"/>
        <w:rPr>
          <w:sz w:val="20"/>
          <w:szCs w:val="20"/>
          <w:color w:val="auto"/>
        </w:rPr>
      </w:pPr>
      <w:r>
        <w:rPr>
          <w:rFonts w:ascii="Times New Roman" w:cs="Times New Roman" w:eastAsia="Times New Roman" w:hAnsi="Times New Roman"/>
          <w:sz w:val="18"/>
          <w:szCs w:val="18"/>
          <w:color w:val="auto"/>
        </w:rPr>
        <w:t>Although our bylaws do not require stockholders to ratify our independent registered public accounting firm, the Audit Committee would like our stockholders’ opinion as a matter of good corporate practice. If the stockholders do not ratify the selection of Ernst &amp; Young LLP, the Audit Committee will reconsider whether to keep the firm. However, even if the stockholders ratify the selection, the Audit Committee may choose to appoint a different independent accounting firm at any time during the year if it believes that a change would be in the best interests of our stockholders and Ionis.</w:t>
      </w:r>
    </w:p>
    <w:p>
      <w:pPr>
        <w:spacing w:after="0" w:line="23" w:lineRule="exact"/>
        <w:rPr>
          <w:sz w:val="20"/>
          <w:szCs w:val="20"/>
          <w:color w:val="auto"/>
        </w:rPr>
      </w:pPr>
    </w:p>
    <w:p>
      <w:pPr>
        <w:ind w:right="20" w:firstLine="360"/>
        <w:spacing w:after="0" w:line="250"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represented by proxy at the Annual Meeting and entitled to vote on the matter will be required to ratify the selection of Ernst &amp; Young LLP. If you indicate on your proxy to “Abstain” from voting, it will have the same effect as an “Against” vote for this Proposal 3.</w:t>
      </w:r>
    </w:p>
    <w:p>
      <w:pPr>
        <w:spacing w:after="0" w:line="15"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2017, none of our finance or accounting employees had been employed by Ernst &amp; Young LLP during the past five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Auditors’ Fees</w:t>
      </w:r>
    </w:p>
    <w:p>
      <w:pPr>
        <w:spacing w:after="0" w:line="67" w:lineRule="exact"/>
        <w:rPr>
          <w:sz w:val="20"/>
          <w:szCs w:val="20"/>
          <w:color w:val="auto"/>
        </w:rPr>
      </w:pPr>
    </w:p>
    <w:p>
      <w:pPr>
        <w:ind w:firstLine="360"/>
        <w:spacing w:after="0" w:line="241" w:lineRule="auto"/>
        <w:rPr>
          <w:sz w:val="20"/>
          <w:szCs w:val="20"/>
          <w:color w:val="auto"/>
        </w:rPr>
      </w:pPr>
      <w:r>
        <w:rPr>
          <w:rFonts w:ascii="Times New Roman" w:cs="Times New Roman" w:eastAsia="Times New Roman" w:hAnsi="Times New Roman"/>
          <w:sz w:val="18"/>
          <w:szCs w:val="18"/>
          <w:color w:val="auto"/>
        </w:rPr>
        <w:t>The Audit Committee has adopted a policy and procedure for the pre-approval of audit and permissible non-audit services rendered by our independent registered public accounting firm, Ernst &amp; Young LLP. The policy generally pre-approves specific services in the defined categories of audit services, audit-related services, and tax services up to pre-determined amounts. The Audit Committee may pre-approve services as part of its approval of the scope of the engagement of the independent auditor or on an individual explicit case-by-case basis before the Audit Committee engages the independent registered public accounting firm to provide each service. The Audit Committee pre-approved all of the fees described below.</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67" w:lineRule="exact"/>
        <w:rPr>
          <w:sz w:val="20"/>
          <w:szCs w:val="20"/>
          <w:color w:val="auto"/>
        </w:rPr>
      </w:pPr>
    </w:p>
    <w:p>
      <w:pPr>
        <w:ind w:right="80" w:firstLine="360"/>
        <w:spacing w:after="0"/>
        <w:rPr>
          <w:sz w:val="20"/>
          <w:szCs w:val="20"/>
          <w:color w:val="auto"/>
        </w:rPr>
      </w:pPr>
      <w:r>
        <w:rPr>
          <w:rFonts w:ascii="Times New Roman" w:cs="Times New Roman" w:eastAsia="Times New Roman" w:hAnsi="Times New Roman"/>
          <w:sz w:val="18"/>
          <w:szCs w:val="18"/>
          <w:color w:val="auto"/>
        </w:rPr>
        <w:t>For the fiscal years ended December 31, 2017 and 2016, Ernst &amp; Young LLP billed us approximately $800,000 and $700,000 for each year, respectively, primarily related to the integrated audit of our financial statements and reviews of our interim financial statements. In addition, Ernst &amp; Young LLP billed us approximately $400,000 and approximately $100,000 in 2017 and 2016, respectively, related to corporate transactions, of which approximately $100,000 was billed to Akcea Therapeutics, Inc. (“Akcea”), our affiliate, in 2017. Additionally, for the fiscal year ended December 31, 2017, Ernst &amp; Young LLP billed us approximately $600,000 related to the audit of the financial statements of Akcea, including professional services rendered in connection with Akcea’s initial public offering of approximately $350,000.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Related Fees</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the fiscal years ended December 31, 2017 and 2016, there were no audit related fees billed by Ernst &amp; Young LLP.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67" w:lineRule="exact"/>
        <w:rPr>
          <w:sz w:val="20"/>
          <w:szCs w:val="20"/>
          <w:color w:val="auto"/>
        </w:rPr>
      </w:pPr>
    </w:p>
    <w:p>
      <w:pPr>
        <w:ind w:right="100" w:firstLine="360"/>
        <w:spacing w:after="0" w:line="242" w:lineRule="auto"/>
        <w:rPr>
          <w:sz w:val="20"/>
          <w:szCs w:val="20"/>
          <w:color w:val="auto"/>
        </w:rPr>
      </w:pPr>
      <w:r>
        <w:rPr>
          <w:rFonts w:ascii="Times New Roman" w:cs="Times New Roman" w:eastAsia="Times New Roman" w:hAnsi="Times New Roman"/>
          <w:sz w:val="18"/>
          <w:szCs w:val="18"/>
          <w:color w:val="auto"/>
        </w:rPr>
        <w:t>For the fiscal year ended December 31, 2017, Ernst &amp; Young LLP billed us approximately $400,000 for professional services on tax projects, including services related to Akcea’s initial public offering, international tax planning and state and local tax consulting projects, of which approximately $200,000 was billed to Akcea. For the fiscal year ended December 31, 2016, Ernst &amp; Young LLP billed us approximately $200,000 for professional services rendered for international tax planning for Akcea and state and local tax consulting projects.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67" w:lineRule="exact"/>
        <w:rPr>
          <w:sz w:val="20"/>
          <w:szCs w:val="20"/>
          <w:color w:val="auto"/>
        </w:rPr>
      </w:pPr>
    </w:p>
    <w:p>
      <w:pPr>
        <w:ind w:right="60" w:firstLine="360"/>
        <w:spacing w:after="0" w:line="242" w:lineRule="auto"/>
        <w:rPr>
          <w:sz w:val="20"/>
          <w:szCs w:val="20"/>
          <w:color w:val="auto"/>
        </w:rPr>
      </w:pPr>
      <w:r>
        <w:rPr>
          <w:rFonts w:ascii="Times New Roman" w:cs="Times New Roman" w:eastAsia="Times New Roman" w:hAnsi="Times New Roman"/>
          <w:sz w:val="18"/>
          <w:szCs w:val="18"/>
          <w:color w:val="auto"/>
        </w:rPr>
        <w:t>During the fiscal years ended December 31, 2017 and 2016, all other fees billed by Ernst &amp; Young LLP were approximately $2,000 for each year. These fees were for a subscription to an online accounting and tax information service. The Audit Committee has determined that the rendering of all non-audit services by Ernst &amp; Young LLP is compatible with maintaining the auditor’s independence. During the fiscal year ended December 31, 2017, none of the total hours expended on our financial audit by Ernst &amp; Young LLP were provided by persons other than Ernst &amp; Young LLP’s employees.</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APPROVAL OF PROPOSAL 3.</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7" w:right="12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table outlines the ownership of our common stock as of March 1, 2018 by:</w:t>
      </w:r>
    </w:p>
    <w:p>
      <w:pPr>
        <w:spacing w:after="0" w:line="117" w:lineRule="exact"/>
        <w:rPr>
          <w:sz w:val="20"/>
          <w:szCs w:val="20"/>
          <w:color w:val="auto"/>
        </w:rPr>
      </w:pPr>
    </w:p>
    <w:p>
      <w:pPr>
        <w:ind w:left="700" w:hanging="356"/>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nominee for Director;</w:t>
      </w:r>
    </w:p>
    <w:p>
      <w:pPr>
        <w:spacing w:after="0" w:line="117" w:lineRule="exact"/>
        <w:rPr>
          <w:rFonts w:ascii="Times New Roman" w:cs="Times New Roman" w:eastAsia="Times New Roman" w:hAnsi="Times New Roman"/>
          <w:sz w:val="18"/>
          <w:szCs w:val="18"/>
          <w:color w:val="auto"/>
        </w:rPr>
      </w:pPr>
    </w:p>
    <w:p>
      <w:pPr>
        <w:ind w:left="700" w:right="300" w:hanging="356"/>
        <w:spacing w:after="0" w:line="282"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named in the Summary Compensation Table under “Executive Compensation--Compensation of Executive Officers”;</w:t>
      </w:r>
    </w:p>
    <w:p>
      <w:pPr>
        <w:spacing w:after="0" w:line="53"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 and</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entity that we know beneficially owns more than five percent of our common stock.</w:t>
      </w: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7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60" w:type="dxa"/>
            <w:vAlign w:val="bottom"/>
            <w:tcBorders>
              <w:bottom w:val="single" w:sz="8" w:color="auto"/>
            </w:tcBorders>
            <w:gridSpan w:val="3"/>
          </w:tcPr>
          <w:p>
            <w:pPr>
              <w:jc w:val="right"/>
              <w:ind w:right="244"/>
              <w:spacing w:after="0" w:line="257" w:lineRule="exact"/>
              <w:rPr>
                <w:sz w:val="20"/>
                <w:szCs w:val="20"/>
                <w:color w:val="auto"/>
              </w:rPr>
            </w:pPr>
            <w:r>
              <w:rPr>
                <w:rFonts w:ascii="Times New Roman" w:cs="Times New Roman" w:eastAsia="Times New Roman" w:hAnsi="Times New Roman"/>
                <w:sz w:val="14"/>
                <w:szCs w:val="14"/>
                <w:b w:val="1"/>
                <w:bCs w:val="1"/>
                <w:color w:val="auto"/>
              </w:rPr>
              <w:t>Beneficial Ownership</w:t>
            </w:r>
            <w:r>
              <w:rPr>
                <w:rFonts w:ascii="Times New Roman" w:cs="Times New Roman" w:eastAsia="Times New Roman" w:hAnsi="Times New Roman"/>
                <w:sz w:val="24"/>
                <w:szCs w:val="24"/>
                <w:b w:val="1"/>
                <w:bCs w:val="1"/>
                <w:color w:val="auto"/>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112"/>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89"/>
        </w:trPr>
        <w:tc>
          <w:tcPr>
            <w:tcW w:w="7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020" w:type="dxa"/>
            <w:vAlign w:val="bottom"/>
            <w:gridSpan w:val="2"/>
          </w:tcPr>
          <w:p>
            <w:pPr>
              <w:jc w:val="right"/>
              <w:ind w:right="300"/>
              <w:spacing w:after="0" w:line="189" w:lineRule="exact"/>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5"/>
                <w:szCs w:val="15"/>
                <w:color w:val="auto"/>
              </w:rPr>
              <w:t>FMR LLC</w:t>
            </w:r>
            <w:r>
              <w:rPr>
                <w:rFonts w:ascii="Times New Roman" w:cs="Times New Roman" w:eastAsia="Times New Roman" w:hAnsi="Times New Roman"/>
                <w:sz w:val="24"/>
                <w:szCs w:val="24"/>
                <w:color w:val="auto"/>
                <w:vertAlign w:val="superscript"/>
              </w:rPr>
              <w:t>(3)</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18,719,325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245 Summer Street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Boston, MA 02210</w:t>
            </w: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2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ClearBridge Investments, LLC</w:t>
            </w:r>
            <w:r>
              <w:rPr>
                <w:rFonts w:ascii="Times New Roman" w:cs="Times New Roman" w:eastAsia="Times New Roman" w:hAnsi="Times New Roman"/>
                <w:sz w:val="23"/>
                <w:szCs w:val="23"/>
                <w:color w:val="auto"/>
                <w:vertAlign w:val="superscript"/>
              </w:rPr>
              <w:t>(4)</w:t>
            </w:r>
          </w:p>
        </w:tc>
        <w:tc>
          <w:tcPr>
            <w:tcW w:w="10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10,984,818</w:t>
            </w:r>
          </w:p>
        </w:tc>
        <w:tc>
          <w:tcPr>
            <w:tcW w:w="1200" w:type="dxa"/>
            <w:vAlign w:val="bottom"/>
            <w:gridSpan w:val="3"/>
            <w:shd w:val="clear" w:color="auto" w:fill="CCEEFF"/>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8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620 8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Avenue</w:t>
            </w: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10018</w:t>
            </w: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line="211" w:lineRule="exact"/>
              <w:rPr>
                <w:sz w:val="20"/>
                <w:szCs w:val="20"/>
                <w:color w:val="auto"/>
              </w:rPr>
            </w:pPr>
            <w:r>
              <w:rPr>
                <w:rFonts w:ascii="Times New Roman" w:cs="Times New Roman" w:eastAsia="Times New Roman" w:hAnsi="Times New Roman"/>
                <w:sz w:val="15"/>
                <w:szCs w:val="15"/>
                <w:color w:val="auto"/>
              </w:rPr>
              <w:t>Wellington Management Group LLP</w:t>
            </w:r>
            <w:r>
              <w:rPr>
                <w:rFonts w:ascii="Times New Roman" w:cs="Times New Roman" w:eastAsia="Times New Roman" w:hAnsi="Times New Roman"/>
                <w:sz w:val="24"/>
                <w:szCs w:val="24"/>
                <w:color w:val="auto"/>
                <w:vertAlign w:val="superscript"/>
              </w:rPr>
              <w:t>(5)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10,927,490</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280 Congress Street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Boston, MA 02210</w:t>
            </w: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line="211" w:lineRule="exact"/>
              <w:rPr>
                <w:sz w:val="20"/>
                <w:szCs w:val="20"/>
                <w:color w:val="auto"/>
              </w:rPr>
            </w:pPr>
            <w:r>
              <w:rPr>
                <w:rFonts w:ascii="Times New Roman" w:cs="Times New Roman" w:eastAsia="Times New Roman" w:hAnsi="Times New Roman"/>
                <w:sz w:val="15"/>
                <w:szCs w:val="15"/>
                <w:color w:val="auto"/>
              </w:rPr>
              <w:t>The Vanguard Group</w:t>
            </w:r>
            <w:r>
              <w:rPr>
                <w:rFonts w:ascii="Times New Roman" w:cs="Times New Roman" w:eastAsia="Times New Roman" w:hAnsi="Times New Roman"/>
                <w:sz w:val="24"/>
                <w:szCs w:val="24"/>
                <w:color w:val="auto"/>
                <w:vertAlign w:val="superscript"/>
              </w:rPr>
              <w:t>(6)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10,106,212</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Vanguard Boulevard</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Malvern, PA 19355</w:t>
            </w: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line="211" w:lineRule="exact"/>
              <w:rPr>
                <w:sz w:val="20"/>
                <w:szCs w:val="20"/>
                <w:color w:val="auto"/>
              </w:rPr>
            </w:pPr>
            <w:r>
              <w:rPr>
                <w:rFonts w:ascii="Times New Roman" w:cs="Times New Roman" w:eastAsia="Times New Roman" w:hAnsi="Times New Roman"/>
                <w:sz w:val="15"/>
                <w:szCs w:val="15"/>
                <w:color w:val="auto"/>
              </w:rPr>
              <w:t>BB Biotech AG</w:t>
            </w:r>
            <w:r>
              <w:rPr>
                <w:rFonts w:ascii="Times New Roman" w:cs="Times New Roman" w:eastAsia="Times New Roman" w:hAnsi="Times New Roman"/>
                <w:sz w:val="24"/>
                <w:szCs w:val="24"/>
                <w:color w:val="auto"/>
                <w:vertAlign w:val="superscript"/>
              </w:rPr>
              <w:t>(7)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8,136,334</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Schwertstrasse 6</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CH-8200 Schaffhausen, Switzerland</w:t>
            </w: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2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BlackRock, Inc.</w:t>
            </w:r>
            <w:r>
              <w:rPr>
                <w:rFonts w:ascii="Times New Roman" w:cs="Times New Roman" w:eastAsia="Times New Roman" w:hAnsi="Times New Roman"/>
                <w:sz w:val="23"/>
                <w:szCs w:val="23"/>
                <w:color w:val="auto"/>
                <w:vertAlign w:val="superscript"/>
              </w:rPr>
              <w:t>(8)</w:t>
            </w:r>
          </w:p>
        </w:tc>
        <w:tc>
          <w:tcPr>
            <w:tcW w:w="10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6,972,606</w:t>
            </w:r>
          </w:p>
        </w:tc>
        <w:tc>
          <w:tcPr>
            <w:tcW w:w="1200" w:type="dxa"/>
            <w:vAlign w:val="bottom"/>
            <w:gridSpan w:val="3"/>
            <w:shd w:val="clear" w:color="auto" w:fill="CCEEFF"/>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8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55 East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Street</w:t>
            </w: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10055</w:t>
            </w: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line="211" w:lineRule="exact"/>
              <w:rPr>
                <w:sz w:val="20"/>
                <w:szCs w:val="20"/>
                <w:color w:val="auto"/>
              </w:rPr>
            </w:pPr>
            <w:r>
              <w:rPr>
                <w:rFonts w:ascii="Times New Roman" w:cs="Times New Roman" w:eastAsia="Times New Roman" w:hAnsi="Times New Roman"/>
                <w:sz w:val="15"/>
                <w:szCs w:val="15"/>
                <w:color w:val="auto"/>
              </w:rPr>
              <w:t>Baillie Gifford &amp; Co</w:t>
            </w:r>
            <w:r>
              <w:rPr>
                <w:rFonts w:ascii="Times New Roman" w:cs="Times New Roman" w:eastAsia="Times New Roman" w:hAnsi="Times New Roman"/>
                <w:sz w:val="24"/>
                <w:szCs w:val="24"/>
                <w:color w:val="auto"/>
                <w:vertAlign w:val="superscript"/>
              </w:rPr>
              <w:t>(9)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6,612,301</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Calton Square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 Greenside Row</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Edinburgh EH1 3AN</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Scotland UK</w:t>
            </w: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Spencer R. Berthelsen</w:t>
            </w:r>
            <w:r>
              <w:rPr>
                <w:rFonts w:ascii="Times New Roman" w:cs="Times New Roman" w:eastAsia="Times New Roman" w:hAnsi="Times New Roman"/>
                <w:sz w:val="28"/>
                <w:szCs w:val="28"/>
                <w:color w:val="auto"/>
                <w:vertAlign w:val="superscript"/>
              </w:rPr>
              <w:t>(10)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197,997</w:t>
            </w: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Breaux B. Castleman</w:t>
            </w:r>
            <w:r>
              <w:rPr>
                <w:rFonts w:ascii="Times New Roman" w:cs="Times New Roman" w:eastAsia="Times New Roman" w:hAnsi="Times New Roman"/>
                <w:sz w:val="28"/>
                <w:szCs w:val="28"/>
                <w:color w:val="auto"/>
                <w:vertAlign w:val="superscript"/>
              </w:rPr>
              <w:t>(11)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67,377</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Stanley T. Crooke</w:t>
            </w:r>
            <w:r>
              <w:rPr>
                <w:rFonts w:ascii="Times New Roman" w:cs="Times New Roman" w:eastAsia="Times New Roman" w:hAnsi="Times New Roman"/>
                <w:sz w:val="28"/>
                <w:szCs w:val="28"/>
                <w:color w:val="auto"/>
                <w:vertAlign w:val="superscript"/>
              </w:rPr>
              <w:t>(12)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1,322,209</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Joseph Klein, III</w:t>
            </w:r>
            <w:r>
              <w:rPr>
                <w:rFonts w:ascii="Times New Roman" w:cs="Times New Roman" w:eastAsia="Times New Roman" w:hAnsi="Times New Roman"/>
                <w:sz w:val="28"/>
                <w:szCs w:val="28"/>
                <w:color w:val="auto"/>
                <w:vertAlign w:val="superscript"/>
              </w:rPr>
              <w:t>(13)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22,039</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Joseph Loscalzo</w:t>
            </w:r>
            <w:r>
              <w:rPr>
                <w:rFonts w:ascii="Times New Roman" w:cs="Times New Roman" w:eastAsia="Times New Roman" w:hAnsi="Times New Roman"/>
                <w:sz w:val="28"/>
                <w:szCs w:val="28"/>
                <w:color w:val="auto"/>
                <w:vertAlign w:val="superscript"/>
              </w:rPr>
              <w:t>(14)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54,252</w:t>
            </w: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Frederick T. Muto</w:t>
            </w:r>
            <w:r>
              <w:rPr>
                <w:rFonts w:ascii="Times New Roman" w:cs="Times New Roman" w:eastAsia="Times New Roman" w:hAnsi="Times New Roman"/>
                <w:sz w:val="28"/>
                <w:szCs w:val="28"/>
                <w:color w:val="auto"/>
                <w:vertAlign w:val="superscript"/>
              </w:rPr>
              <w:t>(15)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115,127</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B. Lynne Parshall</w:t>
            </w:r>
            <w:r>
              <w:rPr>
                <w:rFonts w:ascii="Times New Roman" w:cs="Times New Roman" w:eastAsia="Times New Roman" w:hAnsi="Times New Roman"/>
                <w:sz w:val="28"/>
                <w:szCs w:val="28"/>
                <w:color w:val="auto"/>
                <w:vertAlign w:val="superscript"/>
              </w:rPr>
              <w:t>(16)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317,227</w:t>
            </w: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Joseph H. Wender</w:t>
            </w:r>
            <w:r>
              <w:rPr>
                <w:rFonts w:ascii="Times New Roman" w:cs="Times New Roman" w:eastAsia="Times New Roman" w:hAnsi="Times New Roman"/>
                <w:sz w:val="28"/>
                <w:szCs w:val="28"/>
                <w:color w:val="auto"/>
                <w:vertAlign w:val="superscript"/>
              </w:rPr>
              <w:t>(17)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127,749</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Elizabeth Hougen</w:t>
            </w:r>
            <w:r>
              <w:rPr>
                <w:rFonts w:ascii="Times New Roman" w:cs="Times New Roman" w:eastAsia="Times New Roman" w:hAnsi="Times New Roman"/>
                <w:sz w:val="28"/>
                <w:szCs w:val="28"/>
                <w:color w:val="auto"/>
                <w:vertAlign w:val="superscript"/>
              </w:rPr>
              <w:t>(18)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149,309</w:t>
            </w: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Brett Monia</w:t>
            </w:r>
            <w:r>
              <w:rPr>
                <w:rFonts w:ascii="Times New Roman" w:cs="Times New Roman" w:eastAsia="Times New Roman" w:hAnsi="Times New Roman"/>
                <w:sz w:val="28"/>
                <w:szCs w:val="28"/>
                <w:color w:val="auto"/>
                <w:vertAlign w:val="superscript"/>
              </w:rPr>
              <w:t>(19)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177,380</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Richard S. Geary</w:t>
            </w:r>
            <w:r>
              <w:rPr>
                <w:rFonts w:ascii="Times New Roman" w:cs="Times New Roman" w:eastAsia="Times New Roman" w:hAnsi="Times New Roman"/>
                <w:sz w:val="28"/>
                <w:szCs w:val="28"/>
                <w:color w:val="auto"/>
                <w:vertAlign w:val="superscript"/>
              </w:rPr>
              <w:t>(20)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141,466</w:t>
            </w: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(fourteen persons)</w:t>
            </w:r>
            <w:r>
              <w:rPr>
                <w:rFonts w:ascii="Times New Roman" w:cs="Times New Roman" w:eastAsia="Times New Roman" w:hAnsi="Times New Roman"/>
                <w:sz w:val="29"/>
                <w:szCs w:val="29"/>
                <w:color w:val="auto"/>
                <w:vertAlign w:val="superscript"/>
              </w:rPr>
              <w:t>(21)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3,056,087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bl>
    <w:p>
      <w:pPr>
        <w:spacing w:after="0" w:line="47" w:lineRule="exact"/>
        <w:rPr>
          <w:sz w:val="20"/>
          <w:szCs w:val="20"/>
          <w:color w:val="auto"/>
        </w:rPr>
      </w:pPr>
    </w:p>
    <w:p>
      <w:pPr>
        <w:sectPr>
          <w:pgSz w:w="11900" w:h="16838" w:orient="portrait"/>
          <w:cols w:equalWidth="0" w:num="1">
            <w:col w:w="9560"/>
          </w:cols>
          <w:pgMar w:left="1180" w:top="277" w:right="1159" w:bottom="1440" w:gutter="0" w:footer="0" w:header="0"/>
        </w:sect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type w:val="continuous"/>
        </w:sectPr>
      </w:pPr>
    </w:p>
    <w:bookmarkStart w:id="24" w:name="page25"/>
    <w:bookmarkEnd w:id="24"/>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909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80" w:lineRule="exact"/>
        <w:rPr>
          <w:sz w:val="20"/>
          <w:szCs w:val="20"/>
          <w:color w:val="auto"/>
        </w:rPr>
      </w:pPr>
    </w:p>
    <w:p>
      <w:pPr>
        <w:ind w:left="347" w:hanging="347"/>
        <w:spacing w:after="0"/>
        <w:tabs>
          <w:tab w:leader="none" w:pos="34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109" w:lineRule="exact"/>
        <w:rPr>
          <w:sz w:val="20"/>
          <w:szCs w:val="20"/>
          <w:color w:val="auto"/>
        </w:rPr>
      </w:pPr>
    </w:p>
    <w:p>
      <w:pPr>
        <w:ind w:left="347" w:right="100" w:hanging="347"/>
        <w:spacing w:after="0" w:line="262" w:lineRule="auto"/>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base this table upon information supplied by officers, Directors, principal stockholders and Form 3s, Form 4s, Form 5s, Schedules 13D and 13G filed with the SEC. Unless otherwise indicated in the footnotes to this table and subject to community property laws where applicable, we believe that each of the stockholders named in this table has sole voting and investment power with respect to the shares indicated as beneficially owned.</w:t>
      </w:r>
    </w:p>
    <w:p>
      <w:pPr>
        <w:spacing w:after="0" w:line="67" w:lineRule="exact"/>
        <w:rPr>
          <w:rFonts w:ascii="Times New Roman" w:cs="Times New Roman" w:eastAsia="Times New Roman" w:hAnsi="Times New Roman"/>
          <w:sz w:val="14"/>
          <w:szCs w:val="14"/>
          <w:color w:val="auto"/>
        </w:rPr>
      </w:pPr>
    </w:p>
    <w:p>
      <w:pPr>
        <w:ind w:left="347" w:right="280" w:hanging="347"/>
        <w:spacing w:after="0" w:line="282" w:lineRule="auto"/>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percentages are based on 125,403,544 shares of common stock outstanding on March 1, 2018, adjusted as required by rules promulgated by the SEC.</w:t>
      </w:r>
    </w:p>
    <w:p>
      <w:pPr>
        <w:spacing w:after="0" w:line="53" w:lineRule="exact"/>
        <w:rPr>
          <w:rFonts w:ascii="Times New Roman" w:cs="Times New Roman" w:eastAsia="Times New Roman" w:hAnsi="Times New Roman"/>
          <w:sz w:val="14"/>
          <w:szCs w:val="14"/>
          <w:color w:val="auto"/>
        </w:rPr>
      </w:pPr>
    </w:p>
    <w:p>
      <w:pPr>
        <w:ind w:left="347" w:right="80" w:hanging="347"/>
        <w:spacing w:after="0" w:line="249" w:lineRule="auto"/>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4" w:lineRule="exact"/>
        <w:rPr>
          <w:rFonts w:ascii="Times New Roman" w:cs="Times New Roman" w:eastAsia="Times New Roman" w:hAnsi="Times New Roman"/>
          <w:sz w:val="14"/>
          <w:szCs w:val="14"/>
          <w:color w:val="auto"/>
        </w:rPr>
      </w:pPr>
    </w:p>
    <w:p>
      <w:pPr>
        <w:ind w:left="367" w:right="280"/>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70" w:lineRule="exact"/>
        <w:rPr>
          <w:rFonts w:ascii="Times New Roman" w:cs="Times New Roman" w:eastAsia="Times New Roman" w:hAnsi="Times New Roman"/>
          <w:sz w:val="14"/>
          <w:szCs w:val="14"/>
          <w:color w:val="auto"/>
        </w:rPr>
      </w:pPr>
    </w:p>
    <w:p>
      <w:pPr>
        <w:ind w:left="347" w:right="60" w:hanging="347"/>
        <w:spacing w:after="0" w:line="285" w:lineRule="auto"/>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ClearBridge Investments, LLC is an investment adviser registered under the Investment Advisers Act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ClearBridge Investments has sole voting power to direct the vote of 10,627,197 shares and sole power to dispose or direct the disposition of 10,984,818 shares.</w:t>
      </w:r>
    </w:p>
    <w:p>
      <w:pPr>
        <w:spacing w:after="0" w:line="51" w:lineRule="exact"/>
        <w:rPr>
          <w:rFonts w:ascii="Times New Roman" w:cs="Times New Roman" w:eastAsia="Times New Roman" w:hAnsi="Times New Roman"/>
          <w:sz w:val="14"/>
          <w:szCs w:val="14"/>
          <w:color w:val="auto"/>
        </w:rPr>
      </w:pPr>
    </w:p>
    <w:p>
      <w:pPr>
        <w:ind w:left="347" w:right="200" w:hanging="347"/>
        <w:spacing w:after="0" w:line="251" w:lineRule="auto"/>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Wellington Management Company LLP is an investment adviser registered under the Investment Advisers Act. Wellington Management Group LLC, Wellington Group Holdings LLP, and Wellington Investment Advisors Holdings LLP are parent holding companies or control persons under the Investment Advisers Act. Wellington Management Group LLP, Wellington Group Holdings LLP and Wellington Investment Advisors Holdings LLP have shared voting power to direct the vote of 7,754,130 shares and shared power to dispose or direct the disposition of 10,927,490 shares. Wellington Management Company LLP has shared voting power to direct the vote of 7,490,739 shares and shared power to dispose or direct the disposition of 10,520,428 shares.</w:t>
      </w:r>
    </w:p>
    <w:p>
      <w:pPr>
        <w:spacing w:after="0" w:line="76" w:lineRule="exact"/>
        <w:rPr>
          <w:rFonts w:ascii="Times New Roman" w:cs="Times New Roman" w:eastAsia="Times New Roman" w:hAnsi="Times New Roman"/>
          <w:sz w:val="14"/>
          <w:szCs w:val="14"/>
          <w:color w:val="auto"/>
        </w:rPr>
      </w:pPr>
    </w:p>
    <w:p>
      <w:pPr>
        <w:ind w:left="347" w:hanging="347"/>
        <w:spacing w:after="0" w:line="251" w:lineRule="auto"/>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Vanguard Group has sole voting power to direct the vote of 69,060 shares, shared voting power to direct the vote of 14,890 shares, sole power to dispose or direct the disposition of 10,031,962 shares, and shared dispositive power for 74,250 shares. Vanguard Fiduciary Trust Company, a wholly owned subsidiary of The Vanguard Group, Inc., is the beneficial owner of 59,360 shares of our common stock outstanding as a result of its serving as investment manager of collective trust accounts. Vanguard Investments Australia, Ltd., a wholly owned subsidiary of The Vanguard Group, Inc., is the beneficial owner of 24,590 shares of our common stock outstanding as a result of its serving as investment manager of Australian investment offerings.</w:t>
      </w:r>
    </w:p>
    <w:p>
      <w:pPr>
        <w:spacing w:after="0" w:line="76" w:lineRule="exact"/>
        <w:rPr>
          <w:rFonts w:ascii="Times New Roman" w:cs="Times New Roman" w:eastAsia="Times New Roman" w:hAnsi="Times New Roman"/>
          <w:sz w:val="14"/>
          <w:szCs w:val="14"/>
          <w:color w:val="auto"/>
        </w:rPr>
      </w:pPr>
    </w:p>
    <w:p>
      <w:pPr>
        <w:ind w:left="347" w:hanging="347"/>
        <w:spacing w:after="0"/>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BB Biotech AG shares voting and dispositive powers for its shares with Biotech Target N.V.</w:t>
      </w:r>
    </w:p>
    <w:p>
      <w:pPr>
        <w:spacing w:after="0" w:line="109" w:lineRule="exact"/>
        <w:rPr>
          <w:rFonts w:ascii="Times New Roman" w:cs="Times New Roman" w:eastAsia="Times New Roman" w:hAnsi="Times New Roman"/>
          <w:sz w:val="14"/>
          <w:szCs w:val="14"/>
          <w:color w:val="auto"/>
        </w:rPr>
      </w:pPr>
    </w:p>
    <w:p>
      <w:pPr>
        <w:ind w:left="347" w:right="80" w:hanging="347"/>
        <w:spacing w:after="0" w:line="262" w:lineRule="auto"/>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BlackRock, Inc. is a parent holding company and various persons have the right to receive or the power to direct the receipt of dividends from, or the proceeds from the sale of shares of our common stock. BlackRock has sole voting power to direct the vote of 6,522,257 shares and sole power to dispose or direct the disposition of 6,972,606 shares.</w:t>
      </w:r>
    </w:p>
    <w:p>
      <w:pPr>
        <w:spacing w:after="0" w:line="67" w:lineRule="exact"/>
        <w:rPr>
          <w:rFonts w:ascii="Times New Roman" w:cs="Times New Roman" w:eastAsia="Times New Roman" w:hAnsi="Times New Roman"/>
          <w:sz w:val="14"/>
          <w:szCs w:val="14"/>
          <w:color w:val="auto"/>
        </w:rPr>
      </w:pPr>
    </w:p>
    <w:p>
      <w:pPr>
        <w:ind w:left="347" w:right="560" w:hanging="347"/>
        <w:spacing w:after="0" w:line="282" w:lineRule="auto"/>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Baillie Gifford &amp; Co is an investment adviser registered under the Investment Advisers Act. Baillie Gifford has sole voting power to direct the vote of 3,261,312 shares and sole power to dispose or direct the disposition of 6,612,301 shares.</w:t>
      </w:r>
    </w:p>
    <w:p>
      <w:pPr>
        <w:spacing w:after="0" w:line="53" w:lineRule="exact"/>
        <w:rPr>
          <w:rFonts w:ascii="Times New Roman" w:cs="Times New Roman" w:eastAsia="Times New Roman" w:hAnsi="Times New Roman"/>
          <w:sz w:val="14"/>
          <w:szCs w:val="14"/>
          <w:color w:val="auto"/>
        </w:rPr>
      </w:pPr>
    </w:p>
    <w:p>
      <w:pPr>
        <w:ind w:left="347" w:right="160" w:hanging="347"/>
        <w:spacing w:after="0" w:line="282" w:lineRule="auto"/>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70 shares owned by Dr. Berthelsen’s daughter for which he disclaims beneficial ownership. Includes 106,500 shares of common stock issuable upon exercise of options held by Dr. Berthelsen that are exercisable on or before April 30, 2018.</w:t>
      </w:r>
    </w:p>
    <w:p>
      <w:pPr>
        <w:spacing w:after="0" w:line="53" w:lineRule="exact"/>
        <w:rPr>
          <w:rFonts w:ascii="Times New Roman" w:cs="Times New Roman" w:eastAsia="Times New Roman" w:hAnsi="Times New Roman"/>
          <w:sz w:val="14"/>
          <w:szCs w:val="14"/>
          <w:color w:val="auto"/>
        </w:rPr>
      </w:pPr>
    </w:p>
    <w:p>
      <w:pPr>
        <w:ind w:left="347" w:hanging="347"/>
        <w:spacing w:after="0"/>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57,750 shares of common stock issuable upon exercise of options held by Mr. Castleman that are exercisable on or before April 30, 2018.</w:t>
      </w:r>
    </w:p>
    <w:p>
      <w:pPr>
        <w:spacing w:after="0" w:line="109" w:lineRule="exact"/>
        <w:rPr>
          <w:rFonts w:ascii="Times New Roman" w:cs="Times New Roman" w:eastAsia="Times New Roman" w:hAnsi="Times New Roman"/>
          <w:sz w:val="14"/>
          <w:szCs w:val="14"/>
          <w:color w:val="auto"/>
        </w:rPr>
      </w:pPr>
    </w:p>
    <w:p>
      <w:pPr>
        <w:ind w:left="347" w:right="20" w:hanging="347"/>
        <w:spacing w:after="0" w:line="255" w:lineRule="auto"/>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common stock held by Dr. Crooke and 508,936 shares of common stock issuable upon exercise of options held by Dr. Crooke that are exercisable on or before April 30, 2018. Also includes 32,021 shares of common stock issuable upon exercise of options held by Rosanne Crooke, Dr. Crooke’s wife, which are exercisable on or before April 30, 2018. Dr. Crooke disclaims beneficial ownership of the shares of common stock owned and issuable upon exercise of options held by his wife.</w:t>
      </w:r>
    </w:p>
    <w:p>
      <w:pPr>
        <w:spacing w:after="0" w:line="72" w:lineRule="exact"/>
        <w:rPr>
          <w:rFonts w:ascii="Times New Roman" w:cs="Times New Roman" w:eastAsia="Times New Roman" w:hAnsi="Times New Roman"/>
          <w:sz w:val="14"/>
          <w:szCs w:val="14"/>
          <w:color w:val="auto"/>
        </w:rPr>
      </w:pPr>
    </w:p>
    <w:p>
      <w:pPr>
        <w:ind w:left="347" w:right="40" w:hanging="347"/>
        <w:spacing w:after="0" w:line="282" w:lineRule="auto"/>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 shares of common stock beneficially owned by Mr. Klein’s son and 12,000 shares of common stock issuable upon exercise of options held by Mr. Klein that are exercisable on or before April 30, 2018.</w:t>
      </w:r>
    </w:p>
    <w:p>
      <w:pPr>
        <w:spacing w:after="0" w:line="53" w:lineRule="exact"/>
        <w:rPr>
          <w:rFonts w:ascii="Times New Roman" w:cs="Times New Roman" w:eastAsia="Times New Roman" w:hAnsi="Times New Roman"/>
          <w:sz w:val="14"/>
          <w:szCs w:val="14"/>
          <w:color w:val="auto"/>
        </w:rPr>
      </w:pPr>
    </w:p>
    <w:p>
      <w:pPr>
        <w:ind w:left="347" w:hanging="347"/>
        <w:spacing w:after="0"/>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46,500 shares of common stock issuable upon exercise of options held by Mr. Loscalzo that are exercisable on or before April 30, 2018.</w:t>
      </w:r>
    </w:p>
    <w:p>
      <w:pPr>
        <w:spacing w:after="0" w:line="109" w:lineRule="exact"/>
        <w:rPr>
          <w:rFonts w:ascii="Times New Roman" w:cs="Times New Roman" w:eastAsia="Times New Roman" w:hAnsi="Times New Roman"/>
          <w:sz w:val="14"/>
          <w:szCs w:val="14"/>
          <w:color w:val="auto"/>
        </w:rPr>
      </w:pPr>
    </w:p>
    <w:p>
      <w:pPr>
        <w:ind w:left="347" w:right="220" w:hanging="347"/>
        <w:spacing w:after="0" w:line="282" w:lineRule="auto"/>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1,500 shares of common stock beneficially owned through the Cooley LLP Salary Deferral and Profit Sharing Plan and 106,500 shares of common stock issuable upon exercise of options held by Mr. Muto that are exercisable on or before April 30, 2018.</w:t>
      </w:r>
    </w:p>
    <w:p>
      <w:pPr>
        <w:spacing w:after="0" w:line="53" w:lineRule="exact"/>
        <w:rPr>
          <w:rFonts w:ascii="Times New Roman" w:cs="Times New Roman" w:eastAsia="Times New Roman" w:hAnsi="Times New Roman"/>
          <w:sz w:val="14"/>
          <w:szCs w:val="14"/>
          <w:color w:val="auto"/>
        </w:rPr>
      </w:pPr>
    </w:p>
    <w:p>
      <w:pPr>
        <w:ind w:left="347" w:hanging="347"/>
        <w:spacing w:after="0"/>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279,047 shares of common stock issuable upon exercise of options held by Ms. Parshall that are exercisable on or before April 30, 2018.</w:t>
      </w:r>
    </w:p>
    <w:p>
      <w:pPr>
        <w:spacing w:after="0" w:line="109" w:lineRule="exact"/>
        <w:rPr>
          <w:rFonts w:ascii="Times New Roman" w:cs="Times New Roman" w:eastAsia="Times New Roman" w:hAnsi="Times New Roman"/>
          <w:sz w:val="14"/>
          <w:szCs w:val="14"/>
          <w:color w:val="auto"/>
        </w:rPr>
      </w:pPr>
    </w:p>
    <w:p>
      <w:pPr>
        <w:ind w:left="347" w:hanging="347"/>
        <w:spacing w:after="0"/>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91,500 shares of common stock issuable upon exercise of options held by Mr. Wender that are exercisable on or before April 30, 2018.</w:t>
      </w:r>
    </w:p>
    <w:p>
      <w:pPr>
        <w:spacing w:after="0" w:line="109" w:lineRule="exact"/>
        <w:rPr>
          <w:rFonts w:ascii="Times New Roman" w:cs="Times New Roman" w:eastAsia="Times New Roman" w:hAnsi="Times New Roman"/>
          <w:sz w:val="14"/>
          <w:szCs w:val="14"/>
          <w:color w:val="auto"/>
        </w:rPr>
      </w:pPr>
    </w:p>
    <w:p>
      <w:pPr>
        <w:ind w:left="347" w:hanging="347"/>
        <w:spacing w:after="0"/>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134,809 shares of common stock issuable upon exercise of options held by Ms. Hougen that are exercisable on or before April 30, 2018.</w:t>
      </w:r>
    </w:p>
    <w:p>
      <w:pPr>
        <w:spacing w:after="0" w:line="109" w:lineRule="exact"/>
        <w:rPr>
          <w:rFonts w:ascii="Times New Roman" w:cs="Times New Roman" w:eastAsia="Times New Roman" w:hAnsi="Times New Roman"/>
          <w:sz w:val="14"/>
          <w:szCs w:val="14"/>
          <w:color w:val="auto"/>
        </w:rPr>
      </w:pPr>
    </w:p>
    <w:p>
      <w:pPr>
        <w:ind w:left="347" w:hanging="347"/>
        <w:spacing w:after="0"/>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161,597 shares of common stock issuable upon exercise of options held by Dr. Monia that are exercisable on or before April 30, 2018.</w:t>
      </w:r>
    </w:p>
    <w:p>
      <w:pPr>
        <w:spacing w:after="0" w:line="109" w:lineRule="exact"/>
        <w:rPr>
          <w:rFonts w:ascii="Times New Roman" w:cs="Times New Roman" w:eastAsia="Times New Roman" w:hAnsi="Times New Roman"/>
          <w:sz w:val="14"/>
          <w:szCs w:val="14"/>
          <w:color w:val="auto"/>
        </w:rPr>
      </w:pPr>
    </w:p>
    <w:p>
      <w:pPr>
        <w:ind w:left="347" w:hanging="347"/>
        <w:spacing w:after="0"/>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124,786 shares of common stock issuable upon exercise of options held by Mr. Geary that are exercisable on or before April 30, 2018.</w:t>
      </w:r>
    </w:p>
    <w:p>
      <w:pPr>
        <w:spacing w:after="0" w:line="109" w:lineRule="exact"/>
        <w:rPr>
          <w:rFonts w:ascii="Times New Roman" w:cs="Times New Roman" w:eastAsia="Times New Roman" w:hAnsi="Times New Roman"/>
          <w:sz w:val="14"/>
          <w:szCs w:val="14"/>
          <w:color w:val="auto"/>
        </w:rPr>
      </w:pPr>
    </w:p>
    <w:p>
      <w:pPr>
        <w:ind w:left="347" w:right="120" w:hanging="347"/>
        <w:spacing w:after="0" w:line="282" w:lineRule="auto"/>
        <w:tabs>
          <w:tab w:leader="none" w:pos="34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aggregate of 1,983,404 shares issuable upon exercise of options held by all current Directors and executive officers as a group that are exercisable on or before April 30, 2018.</w:t>
      </w:r>
    </w:p>
    <w:p>
      <w:pPr>
        <w:spacing w:after="0" w:line="15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25" w:name="page26"/>
    <w:bookmarkEnd w:id="25"/>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left="7" w:right="120" w:firstLine="36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persons who own more than ten percent of a registered class of our equity securities, to file with the SEC initial reports of ownership and reports of changes in ownership of our common stock and other equity securities. Officers, Directors and greater than ten percent stockholders are required by SEC regulation to furnish us with copies of all Section 16(a) forms they file.</w:t>
      </w:r>
    </w:p>
    <w:p>
      <w:pPr>
        <w:spacing w:after="0" w:line="72" w:lineRule="exact"/>
        <w:rPr>
          <w:sz w:val="20"/>
          <w:szCs w:val="20"/>
          <w:color w:val="auto"/>
        </w:rPr>
      </w:pPr>
    </w:p>
    <w:p>
      <w:pPr>
        <w:ind w:left="7" w:right="120" w:firstLine="360"/>
        <w:spacing w:after="0" w:line="266" w:lineRule="auto"/>
        <w:rPr>
          <w:sz w:val="20"/>
          <w:szCs w:val="20"/>
          <w:color w:val="auto"/>
        </w:rPr>
      </w:pPr>
      <w:r>
        <w:rPr>
          <w:rFonts w:ascii="Times New Roman" w:cs="Times New Roman" w:eastAsia="Times New Roman" w:hAnsi="Times New Roman"/>
          <w:sz w:val="18"/>
          <w:szCs w:val="18"/>
          <w:color w:val="auto"/>
        </w:rPr>
        <w:t>To our knowledge, based solely on a review of the copies of such reports furnished to us and written representations that no other reports were required, during the fiscal year ended December 31, 2017, all Section 16(a) filing requirements applicable to our officers, Directors and greater than ten percent beneficial owners were complied with.</w:t>
      </w:r>
    </w:p>
    <w:p>
      <w:pPr>
        <w:spacing w:after="0" w:line="1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7" w:right="4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options and shares reserved for future issuance under our equity compensation plans as of December 31, 2017.</w:t>
      </w:r>
    </w:p>
    <w:p>
      <w:pPr>
        <w:spacing w:after="0" w:line="20"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Issued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4"/>
                <w:szCs w:val="14"/>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Upon Exercise of</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80" w:type="dxa"/>
            <w:vAlign w:val="bottom"/>
          </w:tcPr>
          <w:p>
            <w:pPr>
              <w:spacing w:after="0"/>
              <w:rPr>
                <w:sz w:val="14"/>
                <w:szCs w:val="14"/>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0" w:type="dxa"/>
            <w:vAlign w:val="bottom"/>
          </w:tcPr>
          <w:p>
            <w:pPr>
              <w:spacing w:after="0"/>
              <w:rPr>
                <w:sz w:val="1"/>
                <w:szCs w:val="1"/>
                <w:color w:val="auto"/>
              </w:rPr>
            </w:pPr>
          </w:p>
        </w:tc>
      </w:tr>
      <w:tr>
        <w:trPr>
          <w:trHeight w:val="173"/>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80" w:type="dxa"/>
            <w:vAlign w:val="bottom"/>
          </w:tcPr>
          <w:p>
            <w:pPr>
              <w:spacing w:after="0"/>
              <w:rPr>
                <w:sz w:val="15"/>
                <w:szCs w:val="15"/>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80" w:type="dxa"/>
            <w:vAlign w:val="bottom"/>
          </w:tcPr>
          <w:p>
            <w:pPr>
              <w:spacing w:after="0"/>
              <w:rPr>
                <w:sz w:val="15"/>
                <w:szCs w:val="15"/>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Equity compensation plans approved by stockholders</w:t>
            </w:r>
            <w:r>
              <w:rPr>
                <w:rFonts w:ascii="Times New Roman" w:cs="Times New Roman" w:eastAsia="Times New Roman" w:hAnsi="Times New Roman"/>
                <w:sz w:val="28"/>
                <w:szCs w:val="28"/>
                <w:color w:val="auto"/>
                <w:vertAlign w:val="superscript"/>
              </w:rPr>
              <w:t>(1)</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9,396,796</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440"/>
              <w:spacing w:after="0" w:line="243" w:lineRule="exact"/>
              <w:rPr>
                <w:sz w:val="20"/>
                <w:szCs w:val="20"/>
                <w:color w:val="auto"/>
              </w:rPr>
            </w:pPr>
            <w:r>
              <w:rPr>
                <w:rFonts w:ascii="Times New Roman" w:cs="Times New Roman" w:eastAsia="Times New Roman" w:hAnsi="Times New Roman"/>
                <w:sz w:val="17"/>
                <w:szCs w:val="17"/>
                <w:color w:val="auto"/>
              </w:rPr>
              <w:t>4,434,959</w:t>
            </w:r>
            <w:r>
              <w:rPr>
                <w:rFonts w:ascii="Times New Roman" w:cs="Times New Roman" w:eastAsia="Times New Roman" w:hAnsi="Times New Roman"/>
                <w:sz w:val="28"/>
                <w:szCs w:val="28"/>
                <w:color w:val="auto"/>
                <w:vertAlign w:val="superscript"/>
              </w:rPr>
              <w:t>(2)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9,396,796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4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4,434,959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909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76" w:lineRule="exact"/>
        <w:rPr>
          <w:sz w:val="20"/>
          <w:szCs w:val="20"/>
          <w:color w:val="auto"/>
        </w:rPr>
      </w:pPr>
    </w:p>
    <w:p>
      <w:pPr>
        <w:ind w:left="347" w:right="140" w:hanging="347"/>
        <w:spacing w:after="0" w:line="282" w:lineRule="auto"/>
        <w:tabs>
          <w:tab w:leader="none" w:pos="34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four Ionis plans: 1989 Stock Option Plan, Amended and Restated 2002 Non-Employee Directors’ Stock Option Plan, 2011 Equity Incentive Plan, and Employee Stock Purchase Plan, or ESPP.</w:t>
      </w:r>
    </w:p>
    <w:p>
      <w:pPr>
        <w:spacing w:after="0" w:line="53" w:lineRule="exact"/>
        <w:rPr>
          <w:rFonts w:ascii="Times New Roman" w:cs="Times New Roman" w:eastAsia="Times New Roman" w:hAnsi="Times New Roman"/>
          <w:sz w:val="14"/>
          <w:szCs w:val="14"/>
          <w:color w:val="auto"/>
        </w:rPr>
      </w:pPr>
    </w:p>
    <w:p>
      <w:pPr>
        <w:ind w:left="347" w:right="160" w:hanging="347"/>
        <w:spacing w:after="0" w:line="282" w:lineRule="auto"/>
        <w:tabs>
          <w:tab w:leader="none" w:pos="34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these shares, 668,232 remained available for purchase under the ESPP as of December 31, 2017. The ESPP incorporates an evergreen formula pursuant to which on January 1 of each year, we automatically increase the aggregate number of shares reserved for issuance under the plan by 150,000 shares.</w:t>
      </w:r>
    </w:p>
    <w:p>
      <w:pPr>
        <w:spacing w:after="0" w:line="15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 of our 2017 Say-on-Pay Vote, Related Stockholder Engagement and Response to Feedback from Stockholders</w:t>
      </w:r>
    </w:p>
    <w:p>
      <w:pPr>
        <w:spacing w:after="0" w:line="106" w:lineRule="exact"/>
        <w:rPr>
          <w:sz w:val="20"/>
          <w:szCs w:val="20"/>
          <w:color w:val="auto"/>
        </w:rPr>
      </w:pPr>
    </w:p>
    <w:p>
      <w:pPr>
        <w:ind w:right="240" w:firstLine="360"/>
        <w:spacing w:after="0" w:line="282" w:lineRule="auto"/>
        <w:rPr>
          <w:sz w:val="20"/>
          <w:szCs w:val="20"/>
          <w:color w:val="auto"/>
        </w:rPr>
      </w:pPr>
      <w:r>
        <w:rPr>
          <w:rFonts w:ascii="Times New Roman" w:cs="Times New Roman" w:eastAsia="Times New Roman" w:hAnsi="Times New Roman"/>
          <w:sz w:val="18"/>
          <w:szCs w:val="18"/>
          <w:color w:val="auto"/>
        </w:rPr>
        <w:t>We value the feedback our stockholders provide regarding executive compensation. As such, we are committed to providing our stockholders the opportunity for a “say-on-pay” vote annually.</w:t>
      </w:r>
    </w:p>
    <w:p>
      <w:pPr>
        <w:spacing w:after="0" w:line="54" w:lineRule="exact"/>
        <w:rPr>
          <w:sz w:val="20"/>
          <w:szCs w:val="20"/>
          <w:color w:val="auto"/>
        </w:rPr>
      </w:pPr>
    </w:p>
    <w:p>
      <w:pPr>
        <w:ind w:right="60" w:firstLine="360"/>
        <w:spacing w:after="0" w:line="282" w:lineRule="auto"/>
        <w:rPr>
          <w:sz w:val="20"/>
          <w:szCs w:val="20"/>
          <w:color w:val="auto"/>
        </w:rPr>
      </w:pPr>
      <w:r>
        <w:rPr>
          <w:rFonts w:ascii="Times New Roman" w:cs="Times New Roman" w:eastAsia="Times New Roman" w:hAnsi="Times New Roman"/>
          <w:sz w:val="18"/>
          <w:szCs w:val="18"/>
          <w:color w:val="auto"/>
        </w:rPr>
        <w:t>For the say-on-pay vote submitted at our 2017 Annual Meeting of Stockholders, we received support from approximately 64% of the shares voted at the meeting.</w:t>
      </w:r>
    </w:p>
    <w:p>
      <w:pPr>
        <w:spacing w:after="0" w:line="54"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Given such results, we reached out to solicit feedback from our stockholders regarding our executive compensation program. Specifically, we contacted stockholders that held an aggregate of over 75% of our common stock, and had one-on-one conversations with stockholders that held an aggregate of approximately 50% of our common stock. Additionally, stockholders representing approximately 5% of our common stock who declined our invitation to discuss our executive compensation program stated that they had no concerns with our executive compensation program. The purpose of these discussions was to gain insight and perspective from our stockholders on our executive compensation programs and policies as disclosed in our proxy statement for our 2017 Annual Meeting of Stockholders. In the future we will periodically solicit input from our stockholders.</w:t>
      </w:r>
    </w:p>
    <w:p>
      <w:pPr>
        <w:spacing w:after="0" w:line="81"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highly values the input it received from our stockholders on our 2017 executive compensation programs. Based on such feedback, we considered certain changes to our compensation program as follows:</w:t>
      </w:r>
    </w:p>
    <w:p>
      <w:pPr>
        <w:spacing w:after="0" w:line="54" w:lineRule="exact"/>
        <w:rPr>
          <w:sz w:val="20"/>
          <w:szCs w:val="20"/>
          <w:color w:val="auto"/>
        </w:rPr>
      </w:pPr>
    </w:p>
    <w:p>
      <w:pPr>
        <w:ind w:left="700" w:right="60" w:hanging="356"/>
        <w:spacing w:after="0" w:line="254"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stockholders that voted against our 2017 say-on-pay proposal did so primarily because compensation increased in 2016, while the 1-year TSR decreased. However, many of the stockholders with whom we spoke understood that while 1-year TSR was down, we had good long-term TSR, which was positive for both 3-year and 5-year. In fact, many stockholders advised us not to make any significant changes to our compensation structure based on a reaction to a single year of negative TSR. In response to this feedback from stockholders, the Compensation Committee has reaffirmed that it can separately consider poor stock price performance when determining the Corporate Performance Factor or Individual Performance Factors for the Performance MBOs and use negative discretion to reduce the payout that would otherwise occur. The Compensation Committee used this negative discretion to reduce the Corporate Performance Factor and the Individual Performance Factor for our CEO and COO for 2017 because of the modest stock performance for the year.</w:t>
      </w:r>
    </w:p>
    <w:p>
      <w:pPr>
        <w:spacing w:after="0" w:line="78" w:lineRule="exact"/>
        <w:rPr>
          <w:rFonts w:ascii="Times New Roman" w:cs="Times New Roman" w:eastAsia="Times New Roman" w:hAnsi="Times New Roman"/>
          <w:sz w:val="18"/>
          <w:szCs w:val="18"/>
          <w:color w:val="auto"/>
        </w:rPr>
      </w:pPr>
    </w:p>
    <w:p>
      <w:pPr>
        <w:ind w:left="700" w:right="80" w:hanging="356"/>
        <w:spacing w:after="0" w:line="256"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Many of our stockholders understand the difficulty in setting formulaic performance metrics for companies in the biopharmaceutical industry. However, some of our stockholders asked that we provide more disclosure around the goal-setting process for our bonus program to demonstrate how the goals translate into measurable results. In response to these comments, we have provided more disclosure above around the bonus program, particularly the objective measures we apply to the goals. In addition, we have included the chart on page </w:t>
      </w:r>
      <w:hyperlink w:anchor="page37">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demonstrating that our achievement of these goals has produced year over year revenue growth from 2012 through 2017 and profitability for 2016 and 2017.</w:t>
      </w:r>
    </w:p>
    <w:p>
      <w:pPr>
        <w:spacing w:after="0" w:line="79" w:lineRule="exact"/>
        <w:rPr>
          <w:rFonts w:ascii="Times New Roman" w:cs="Times New Roman" w:eastAsia="Times New Roman" w:hAnsi="Times New Roman"/>
          <w:sz w:val="18"/>
          <w:szCs w:val="18"/>
          <w:color w:val="auto"/>
        </w:rPr>
      </w:pPr>
    </w:p>
    <w:p>
      <w:pPr>
        <w:ind w:left="700" w:right="20" w:hanging="356"/>
        <w:spacing w:after="0" w:line="253"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stockholders voiced a preference that a portion of named executive officers’ long-term equity incentives should vest based on the achievement of specific performance goals relating to our business strategy. At the same time, however, many of our other stockholders acknowledged that options are prevalent in the biopharmaceutical industry and are considered performance-based because they require the stock price to appreciate following the grant date and prior to vesting and exercise to provide economic value to the recipient. In addition, many of our stockholders agreed that we had the right mix of equity vehicles for our industry and stage. The Compensation Committee believes we would be disadvantaged if we did not offer time-vested equity awards since most companies with which we compete for top talent (including most companies in the Executive Peer Group) do not use performance-based vesting for equity compensation. We do not tie vesting to the achievement of specific events, such as annual metrics, because we do not want to encourage our employees to deviate from our company objectives, which we believe optimizes sustained stockholder value; nor do we want our employees to take unnecessary risks just to meet a short-term metric. However, each year the Compensation Committee evaluates the appropriate equity vehicles for employee compensation, and as part of such evaluation considers, and will continue to consider, the use of awards that vest on specific performance criteria.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81" w:lineRule="exact"/>
        <w:rPr>
          <w:sz w:val="20"/>
          <w:szCs w:val="20"/>
          <w:color w:val="auto"/>
        </w:rPr>
      </w:pPr>
    </w:p>
    <w:p>
      <w:pPr>
        <w:ind w:right="4420" w:firstLine="270"/>
        <w:spacing w:after="0" w:line="255" w:lineRule="auto"/>
        <w:rPr>
          <w:sz w:val="20"/>
          <w:szCs w:val="20"/>
          <w:color w:val="auto"/>
        </w:rPr>
      </w:pPr>
      <w:r>
        <w:rPr>
          <w:rFonts w:ascii="Times New Roman" w:cs="Times New Roman" w:eastAsia="Times New Roman" w:hAnsi="Times New Roman"/>
          <w:sz w:val="18"/>
          <w:szCs w:val="18"/>
          <w:color w:val="auto"/>
        </w:rPr>
        <w:t>Since inception, the Ionis mission has been to create a new, more efficient technology for drug discovery and development – antisense technology – and exploit that technology to create a pipeline of first-in-class and/or best-in-class medicines to treat a wide range of diseases. Today, thanks to the innovation and perseverance of Ionis, we believe antisense technology is taking its place as the third platform for drug discovery alongside small molecules and protein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3618865</wp:posOffset>
            </wp:positionH>
            <wp:positionV relativeFrom="paragraph">
              <wp:posOffset>-896620</wp:posOffset>
            </wp:positionV>
            <wp:extent cx="2221230" cy="1783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21230" cy="1783715"/>
                    </a:xfrm>
                    <a:prstGeom prst="rect">
                      <a:avLst/>
                    </a:prstGeom>
                    <a:noFill/>
                  </pic:spPr>
                </pic:pic>
              </a:graphicData>
            </a:graphic>
          </wp:anchor>
        </w:drawing>
      </w:r>
    </w:p>
    <w:p>
      <w:pPr>
        <w:spacing w:after="0" w:line="223" w:lineRule="exact"/>
        <w:rPr>
          <w:sz w:val="20"/>
          <w:szCs w:val="20"/>
          <w:color w:val="auto"/>
        </w:rPr>
      </w:pPr>
    </w:p>
    <w:p>
      <w:pPr>
        <w:ind w:right="4240" w:firstLine="270"/>
        <w:spacing w:after="0" w:line="256" w:lineRule="auto"/>
        <w:rPr>
          <w:sz w:val="20"/>
          <w:szCs w:val="20"/>
          <w:color w:val="auto"/>
        </w:rPr>
      </w:pPr>
      <w:r>
        <w:rPr>
          <w:rFonts w:ascii="Times New Roman" w:cs="Times New Roman" w:eastAsia="Times New Roman" w:hAnsi="Times New Roman"/>
          <w:sz w:val="18"/>
          <w:szCs w:val="18"/>
          <w:color w:val="auto"/>
        </w:rPr>
        <w:t>Ionis is focused on innovation. Ionis has implemented a unique business strategy intended to support long-term innovation based on the efficiency of antisense technology. Ionis has created a unique, innovation-focused, science–driven culture that couples with the technology and business model to ensure long-term productivity and a commitment to the patients we serve.</w:t>
      </w:r>
    </w:p>
    <w:p>
      <w:pPr>
        <w:spacing w:after="0" w:line="93"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Antisense technology exists today primarily because of the innovation at Ionis. We have more than 1,300 issued patents that provide substantial control of key elements of the technology for many years to come. Our over 1,300 issued patents are all the more remarkable given that Ionis has approximately 440 employees. This means Ionis has produced almost three issued patents per employee. Our intellectual property has been critical in the completion of partnerships that have resulted in over $2.4 billion in cash since 2007 and the development of a consortium of companies that advance the technology alongside us, and thereby increase our reach. We should continue to realize the value of our partnerships, and our consortium of companies, for many years to come in the form of license fees, milestone payments and royalties. Ionis has been recognized as one of the top ten most innovative companies in the biotechnology industry, based on number of granted patents, scientific strength, industry impact, technology strength and research intensity. In addition, Ionis and Biogen received the prestigious Prix Galien USA Award for the Best Biotechnology Product in 2017 for SPINRAZA.</w:t>
      </w:r>
    </w:p>
    <w:p>
      <w:pPr>
        <w:spacing w:after="0" w:line="78"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A key component of our business and organizational strategy is to maintain an optimal size to foster innovation. We believe the optimal size is approximately 400-500 employees. To maintain this optimal size we license our medicines at key value inflection points during development, thus avoiding the need to build the large, complex, inefficient organizations associated with fully integrated pharmaceutical companies. We also demand more of every employee at Ionis and do not tolerate mediocrity. We have been remarkably successful in achieving these goals. Today we have 45 new medicines in development; one medicine in development per 10 employees. And we believe this productivity is sustainable. We plan to add three to five new medicines to the pipeline every year without significant increases in the number of employees.</w:t>
      </w:r>
    </w:p>
    <w:p>
      <w:pPr>
        <w:spacing w:after="0" w:line="81" w:lineRule="exact"/>
        <w:rPr>
          <w:sz w:val="20"/>
          <w:szCs w:val="20"/>
          <w:color w:val="auto"/>
        </w:rPr>
      </w:pPr>
    </w:p>
    <w:p>
      <w:pPr>
        <w:ind w:right="140" w:firstLine="360"/>
        <w:spacing w:after="0" w:line="255" w:lineRule="auto"/>
        <w:rPr>
          <w:sz w:val="20"/>
          <w:szCs w:val="20"/>
          <w:color w:val="auto"/>
        </w:rPr>
      </w:pPr>
      <w:r>
        <w:rPr>
          <w:rFonts w:ascii="Times New Roman" w:cs="Times New Roman" w:eastAsia="Times New Roman" w:hAnsi="Times New Roman"/>
          <w:sz w:val="18"/>
          <w:szCs w:val="18"/>
          <w:color w:val="auto"/>
        </w:rPr>
        <w:t>By design, Ionis demands more of every employee, particularly the middle and senior level leaders. This requires us to design our compensation system to recruit, motivate and retain outstanding individuals. Here too, we have been successful. Our average employee turnover rate over the last five years (reflected as of the third quarter each year) has averaged 8% per year, while the average turnover in the San Diego/La Jolla area for biotech/pharmaceutical companies over this period was 17% according to a survey published by Radford – an Aon Hewitt Company. Given the uniqueness and complexity of our technology, it is critical to retain the knowledge and experience of outstanding long service employees. The experience and seniority of our employees is as critical to our future success as it has been to the success we have enjoyed to date.</w:t>
      </w:r>
    </w:p>
    <w:p>
      <w:pPr>
        <w:spacing w:after="0" w:line="81" w:lineRule="exact"/>
        <w:rPr>
          <w:sz w:val="20"/>
          <w:szCs w:val="20"/>
          <w:color w:val="auto"/>
        </w:rPr>
      </w:pPr>
    </w:p>
    <w:p>
      <w:pPr>
        <w:ind w:right="420" w:firstLine="360"/>
        <w:spacing w:after="0" w:line="282" w:lineRule="auto"/>
        <w:rPr>
          <w:sz w:val="20"/>
          <w:szCs w:val="20"/>
          <w:color w:val="auto"/>
        </w:rPr>
      </w:pPr>
      <w:r>
        <w:rPr>
          <w:rFonts w:ascii="Times New Roman" w:cs="Times New Roman" w:eastAsia="Times New Roman" w:hAnsi="Times New Roman"/>
          <w:sz w:val="18"/>
          <w:szCs w:val="18"/>
          <w:color w:val="auto"/>
        </w:rPr>
        <w:t>In summary, at Ionis our vision is clear and designed to promote long-term creation of value through innovation and bring benefit to generations of patients with many diseases. Our vision is to:</w:t>
      </w:r>
    </w:p>
    <w:p>
      <w:pPr>
        <w:spacing w:after="0" w:line="54" w:lineRule="exact"/>
        <w:rPr>
          <w:sz w:val="20"/>
          <w:szCs w:val="20"/>
          <w:color w:val="auto"/>
        </w:rPr>
      </w:pPr>
    </w:p>
    <w:p>
      <w:pPr>
        <w:ind w:left="700" w:hanging="356"/>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and constantly advance a new, more efficient drug discovery platform – antisense technology;</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unique business model and culture committed to creating long-term value through innovation;</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deepen and advance our pipeline of antisense drugs;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700" w:right="580" w:hanging="356"/>
        <w:spacing w:after="0" w:line="282" w:lineRule="auto"/>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more of every employee – more commitment, more knowledge, more intensity, more innovation and more productivity;</w:t>
      </w:r>
    </w:p>
    <w:p>
      <w:pPr>
        <w:spacing w:after="0" w:line="53"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aggressively manage average and below average performance so every employee produces more; and</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great performance and pay for that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Compensation Practices</w:t>
      </w:r>
    </w:p>
    <w:p>
      <w:pPr>
        <w:spacing w:after="0" w:line="119" w:lineRule="exact"/>
        <w:rPr>
          <w:sz w:val="20"/>
          <w:szCs w:val="20"/>
          <w:color w:val="auto"/>
        </w:rPr>
      </w:pPr>
    </w:p>
    <w:p>
      <w:pPr>
        <w:ind w:right="60" w:firstLine="360"/>
        <w:spacing w:after="0" w:line="289" w:lineRule="auto"/>
        <w:rPr>
          <w:sz w:val="20"/>
          <w:szCs w:val="20"/>
          <w:color w:val="auto"/>
        </w:rPr>
      </w:pPr>
      <w:r>
        <w:rPr>
          <w:rFonts w:ascii="Times New Roman" w:cs="Times New Roman" w:eastAsia="Times New Roman" w:hAnsi="Times New Roman"/>
          <w:sz w:val="17"/>
          <w:szCs w:val="17"/>
          <w:color w:val="auto"/>
        </w:rPr>
        <w:t>Below we summarize some of our compensation practices, both the practices we implement because we believe they are consistent with our vision and building long-term stockholder value (see “What We Do” below), and those we choose not to implement as we believe they are counter to our vision and building long-term stockholder value (see “What We Don’t Do”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071870" cy="52743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52743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5"/>
        </w:trPr>
        <w:tc>
          <w:tcPr>
            <w:tcW w:w="46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440" w:type="dxa"/>
            <w:vAlign w:val="bottom"/>
            <w:tcBorders>
              <w:bottom w:val="single" w:sz="8" w:color="auto"/>
            </w:tcBorders>
          </w:tcPr>
          <w:p>
            <w:pPr>
              <w:spacing w:after="0"/>
              <w:rPr>
                <w:sz w:val="21"/>
                <w:szCs w:val="21"/>
                <w:color w:val="auto"/>
              </w:rPr>
            </w:pPr>
          </w:p>
        </w:tc>
        <w:tc>
          <w:tcPr>
            <w:tcW w:w="44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What We Don’t Do</w:t>
            </w:r>
          </w:p>
        </w:tc>
      </w:tr>
      <w:tr>
        <w:trPr>
          <w:trHeight w:val="211"/>
        </w:trPr>
        <w:tc>
          <w:tcPr>
            <w:tcW w:w="466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Demand more of every employee: more commitment,</w:t>
            </w:r>
          </w:p>
        </w:tc>
        <w:tc>
          <w:tcPr>
            <w:tcW w:w="4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 not guarantee a cash bonus – cash bonuses can, and</w:t>
            </w:r>
          </w:p>
        </w:tc>
      </w:tr>
      <w:tr>
        <w:trPr>
          <w:trHeight w:val="216"/>
        </w:trPr>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more knowledge, more intensity, more innovation, more</w:t>
            </w:r>
          </w:p>
        </w:tc>
        <w:tc>
          <w:tcPr>
            <w:tcW w:w="44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have been, zero</w:t>
            </w:r>
          </w:p>
        </w:tc>
      </w:tr>
      <w:tr>
        <w:trPr>
          <w:trHeight w:val="214"/>
        </w:trPr>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productivity</w:t>
            </w:r>
          </w:p>
        </w:tc>
        <w:tc>
          <w:tcPr>
            <w:tcW w:w="44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43"/>
        </w:trPr>
        <w:tc>
          <w:tcPr>
            <w:tcW w:w="466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Reward productivity and performance</w:t>
            </w:r>
          </w:p>
        </w:tc>
        <w:tc>
          <w:tcPr>
            <w:tcW w:w="4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 not provide perquisites for any employees</w:t>
            </w:r>
          </w:p>
        </w:tc>
      </w:tr>
      <w:tr>
        <w:trPr>
          <w:trHeight w:val="245"/>
        </w:trPr>
        <w:tc>
          <w:tcPr>
            <w:tcW w:w="466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Recognize the value of long-term employees and low</w:t>
            </w:r>
          </w:p>
        </w:tc>
        <w:tc>
          <w:tcPr>
            <w:tcW w:w="4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 not provide “gross-up” payments, other than for</w:t>
            </w:r>
          </w:p>
        </w:tc>
      </w:tr>
      <w:tr>
        <w:trPr>
          <w:trHeight w:val="214"/>
        </w:trPr>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turnover</w:t>
            </w:r>
          </w:p>
        </w:tc>
        <w:tc>
          <w:tcPr>
            <w:tcW w:w="44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relocation</w:t>
            </w:r>
          </w:p>
        </w:tc>
      </w:tr>
      <w:tr>
        <w:trPr>
          <w:trHeight w:val="245"/>
        </w:trPr>
        <w:tc>
          <w:tcPr>
            <w:tcW w:w="466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Use a balanced mix of fixed and variable cash incentives</w:t>
            </w:r>
          </w:p>
        </w:tc>
        <w:tc>
          <w:tcPr>
            <w:tcW w:w="4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 not allow pledging, shorting or hedging against our</w:t>
            </w:r>
          </w:p>
        </w:tc>
      </w:tr>
      <w:tr>
        <w:trPr>
          <w:trHeight w:val="214"/>
        </w:trPr>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long-term equity incentives</w:t>
            </w:r>
          </w:p>
        </w:tc>
        <w:tc>
          <w:tcPr>
            <w:tcW w:w="44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w:t>
            </w:r>
          </w:p>
        </w:tc>
      </w:tr>
      <w:tr>
        <w:trPr>
          <w:trHeight w:val="245"/>
        </w:trPr>
        <w:tc>
          <w:tcPr>
            <w:tcW w:w="4660" w:type="dxa"/>
            <w:vAlign w:val="bottom"/>
          </w:tcPr>
          <w:p>
            <w:pPr>
              <w:ind w:left="60"/>
              <w:spacing w:after="0" w:line="245"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Evaluate compensation compared to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w:t>
            </w:r>
          </w:p>
        </w:tc>
        <w:tc>
          <w:tcPr>
            <w:tcW w:w="4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 not reprice or “cash-out” stock options without</w:t>
            </w:r>
          </w:p>
        </w:tc>
      </w:tr>
      <w:tr>
        <w:trPr>
          <w:trHeight w:val="234"/>
        </w:trPr>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 our peer group</w:t>
            </w:r>
          </w:p>
        </w:tc>
        <w:tc>
          <w:tcPr>
            <w:tcW w:w="44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 approval</w:t>
            </w:r>
          </w:p>
        </w:tc>
      </w:tr>
    </w:tbl>
    <w:p>
      <w:pPr>
        <w:spacing w:after="0" w:line="9" w:lineRule="exact"/>
        <w:rPr>
          <w:sz w:val="20"/>
          <w:szCs w:val="20"/>
          <w:color w:val="auto"/>
        </w:rPr>
      </w:pPr>
    </w:p>
    <w:p>
      <w:pPr>
        <w:jc w:val="both"/>
        <w:ind w:left="420" w:right="5180" w:hanging="359"/>
        <w:spacing w:after="0" w:line="276" w:lineRule="auto"/>
        <w:tabs>
          <w:tab w:leader="none" w:pos="420" w:val="left"/>
        </w:tabs>
        <w:numPr>
          <w:ilvl w:val="0"/>
          <w:numId w:val="4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Design our compensation philosophy and objectives to mitigate unnecessary or imprudent business risk taking</w:t>
      </w:r>
    </w:p>
    <w:p>
      <w:pPr>
        <w:spacing w:after="0" w:line="9" w:lineRule="exact"/>
        <w:rPr>
          <w:rFonts w:ascii="MS PGothic" w:cs="MS PGothic" w:eastAsia="MS PGothic" w:hAnsi="MS PGothic"/>
          <w:sz w:val="17"/>
          <w:szCs w:val="17"/>
          <w:color w:val="auto"/>
        </w:rPr>
      </w:pPr>
    </w:p>
    <w:p>
      <w:pPr>
        <w:ind w:left="420" w:right="5000" w:hanging="359"/>
        <w:spacing w:after="0" w:line="257" w:lineRule="auto"/>
        <w:tabs>
          <w:tab w:leader="none" w:pos="420" w:val="left"/>
        </w:tabs>
        <w:numPr>
          <w:ilvl w:val="0"/>
          <w:numId w:val="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Set explicit and demanding objectives at the beginning of each year from which we measure performance for the year</w:t>
      </w:r>
    </w:p>
    <w:p>
      <w:pPr>
        <w:spacing w:after="0" w:line="10" w:lineRule="exact"/>
        <w:rPr>
          <w:rFonts w:ascii="MS PGothic" w:cs="MS PGothic" w:eastAsia="MS PGothic" w:hAnsi="MS PGothic"/>
          <w:sz w:val="18"/>
          <w:szCs w:val="18"/>
          <w:color w:val="auto"/>
        </w:rPr>
      </w:pPr>
    </w:p>
    <w:p>
      <w:pPr>
        <w:ind w:left="420" w:hanging="359"/>
        <w:spacing w:after="0"/>
        <w:tabs>
          <w:tab w:leader="none" w:pos="420" w:val="left"/>
        </w:tabs>
        <w:numPr>
          <w:ilvl w:val="0"/>
          <w:numId w:val="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Place a maximum limit on Performance MBOs</w:t>
      </w:r>
    </w:p>
    <w:p>
      <w:pPr>
        <w:spacing w:after="0" w:line="47" w:lineRule="exact"/>
        <w:rPr>
          <w:rFonts w:ascii="MS PGothic" w:cs="MS PGothic" w:eastAsia="MS PGothic" w:hAnsi="MS PGothic"/>
          <w:sz w:val="18"/>
          <w:szCs w:val="18"/>
          <w:color w:val="auto"/>
        </w:rPr>
      </w:pPr>
    </w:p>
    <w:p>
      <w:pPr>
        <w:ind w:left="420" w:hanging="359"/>
        <w:spacing w:after="0"/>
        <w:tabs>
          <w:tab w:leader="none" w:pos="420" w:val="left"/>
        </w:tabs>
        <w:numPr>
          <w:ilvl w:val="0"/>
          <w:numId w:val="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Set a strict budget for equity awards and salary increases</w:t>
      </w:r>
    </w:p>
    <w:p>
      <w:pPr>
        <w:spacing w:after="0" w:line="36" w:lineRule="exact"/>
        <w:rPr>
          <w:rFonts w:ascii="MS PGothic" w:cs="MS PGothic" w:eastAsia="MS PGothic" w:hAnsi="MS PGothic"/>
          <w:sz w:val="18"/>
          <w:szCs w:val="18"/>
          <w:color w:val="auto"/>
        </w:rPr>
      </w:pPr>
    </w:p>
    <w:p>
      <w:pPr>
        <w:ind w:left="420" w:right="5320" w:hanging="359"/>
        <w:spacing w:after="0" w:line="254" w:lineRule="auto"/>
        <w:tabs>
          <w:tab w:leader="none" w:pos="420" w:val="left"/>
        </w:tabs>
        <w:numPr>
          <w:ilvl w:val="0"/>
          <w:numId w:val="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Set the size of equity awards based on individual and company performance</w:t>
      </w:r>
    </w:p>
    <w:p>
      <w:pPr>
        <w:spacing w:after="0" w:line="9" w:lineRule="exact"/>
        <w:rPr>
          <w:rFonts w:ascii="MS PGothic" w:cs="MS PGothic" w:eastAsia="MS PGothic" w:hAnsi="MS PGothic"/>
          <w:sz w:val="18"/>
          <w:szCs w:val="18"/>
          <w:color w:val="auto"/>
        </w:rPr>
      </w:pPr>
    </w:p>
    <w:p>
      <w:pPr>
        <w:ind w:left="420" w:hanging="359"/>
        <w:spacing w:after="0"/>
        <w:tabs>
          <w:tab w:leader="none" w:pos="420" w:val="left"/>
        </w:tabs>
        <w:numPr>
          <w:ilvl w:val="0"/>
          <w:numId w:val="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minimum vesting periods for equity awards</w:t>
      </w:r>
    </w:p>
    <w:p>
      <w:pPr>
        <w:spacing w:after="0" w:line="47" w:lineRule="exact"/>
        <w:rPr>
          <w:rFonts w:ascii="MS PGothic" w:cs="MS PGothic" w:eastAsia="MS PGothic" w:hAnsi="MS PGothic"/>
          <w:sz w:val="18"/>
          <w:szCs w:val="18"/>
          <w:color w:val="auto"/>
        </w:rPr>
      </w:pPr>
    </w:p>
    <w:p>
      <w:pPr>
        <w:ind w:left="420" w:right="5100" w:hanging="359"/>
        <w:spacing w:after="0" w:line="252" w:lineRule="auto"/>
        <w:tabs>
          <w:tab w:leader="none" w:pos="420" w:val="left"/>
        </w:tabs>
        <w:numPr>
          <w:ilvl w:val="0"/>
          <w:numId w:val="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Maintain equity holding periods that require our named executive officers and non-employee Board members to hold shares received from their RSUs until they meet certain ownership thresholds or no longer serve the Company</w:t>
      </w:r>
    </w:p>
    <w:p>
      <w:pPr>
        <w:spacing w:after="0" w:line="9" w:lineRule="exact"/>
        <w:rPr>
          <w:rFonts w:ascii="MS PGothic" w:cs="MS PGothic" w:eastAsia="MS PGothic" w:hAnsi="MS PGothic"/>
          <w:sz w:val="18"/>
          <w:szCs w:val="18"/>
          <w:color w:val="auto"/>
        </w:rPr>
      </w:pPr>
    </w:p>
    <w:p>
      <w:pPr>
        <w:ind w:left="420" w:right="5300" w:hanging="359"/>
        <w:spacing w:after="0" w:line="257" w:lineRule="auto"/>
        <w:tabs>
          <w:tab w:leader="none" w:pos="420" w:val="left"/>
        </w:tabs>
        <w:numPr>
          <w:ilvl w:val="0"/>
          <w:numId w:val="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Maintain equity holding periods that require our employees to hold ESPP shares for a minimum of six months</w:t>
      </w:r>
    </w:p>
    <w:p>
      <w:pPr>
        <w:spacing w:after="0" w:line="10" w:lineRule="exact"/>
        <w:rPr>
          <w:rFonts w:ascii="MS PGothic" w:cs="MS PGothic" w:eastAsia="MS PGothic" w:hAnsi="MS PGothic"/>
          <w:sz w:val="18"/>
          <w:szCs w:val="18"/>
          <w:color w:val="auto"/>
        </w:rPr>
      </w:pPr>
    </w:p>
    <w:p>
      <w:pPr>
        <w:ind w:left="420" w:right="5260" w:hanging="359"/>
        <w:spacing w:after="0" w:line="261" w:lineRule="auto"/>
        <w:tabs>
          <w:tab w:leader="none" w:pos="420" w:val="left"/>
        </w:tabs>
        <w:numPr>
          <w:ilvl w:val="0"/>
          <w:numId w:val="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our executive officers and VPs to trade Ionis’ stock through Rule 10b5-1 trading plans</w:t>
      </w:r>
    </w:p>
    <w:p>
      <w:pPr>
        <w:spacing w:after="0" w:line="8" w:lineRule="exact"/>
        <w:rPr>
          <w:rFonts w:ascii="MS PGothic" w:cs="MS PGothic" w:eastAsia="MS PGothic" w:hAnsi="MS PGothic"/>
          <w:sz w:val="18"/>
          <w:szCs w:val="18"/>
          <w:color w:val="auto"/>
        </w:rPr>
      </w:pPr>
    </w:p>
    <w:p>
      <w:pPr>
        <w:ind w:left="420" w:right="5160" w:hanging="359"/>
        <w:spacing w:after="0" w:line="261" w:lineRule="auto"/>
        <w:tabs>
          <w:tab w:leader="none" w:pos="420" w:val="left"/>
        </w:tabs>
        <w:numPr>
          <w:ilvl w:val="0"/>
          <w:numId w:val="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Use a “double trigger” for cash payments for change of control</w:t>
      </w:r>
    </w:p>
    <w:p>
      <w:pPr>
        <w:spacing w:after="0" w:line="8" w:lineRule="exact"/>
        <w:rPr>
          <w:rFonts w:ascii="MS PGothic" w:cs="MS PGothic" w:eastAsia="MS PGothic" w:hAnsi="MS PGothic"/>
          <w:sz w:val="18"/>
          <w:szCs w:val="18"/>
          <w:color w:val="auto"/>
        </w:rPr>
      </w:pPr>
    </w:p>
    <w:p>
      <w:pPr>
        <w:ind w:left="420" w:hanging="359"/>
        <w:spacing w:after="0"/>
        <w:tabs>
          <w:tab w:leader="none" w:pos="420" w:val="left"/>
        </w:tabs>
        <w:numPr>
          <w:ilvl w:val="0"/>
          <w:numId w:val="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Use an executive “claw-back” policy</w:t>
      </w:r>
    </w:p>
    <w:p>
      <w:pPr>
        <w:spacing w:after="0" w:line="47" w:lineRule="exact"/>
        <w:rPr>
          <w:rFonts w:ascii="MS PGothic" w:cs="MS PGothic" w:eastAsia="MS PGothic" w:hAnsi="MS PGothic"/>
          <w:sz w:val="18"/>
          <w:szCs w:val="18"/>
          <w:color w:val="auto"/>
        </w:rPr>
      </w:pPr>
    </w:p>
    <w:p>
      <w:pPr>
        <w:ind w:left="420" w:right="5020" w:hanging="359"/>
        <w:spacing w:after="0" w:line="269" w:lineRule="auto"/>
        <w:tabs>
          <w:tab w:leader="none" w:pos="420" w:val="left"/>
        </w:tabs>
        <w:numPr>
          <w:ilvl w:val="0"/>
          <w:numId w:val="4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Use an independent compensation consultant engaged by the Compensation Committee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Overview and the Role of the Compensation Committee</w:t>
      </w:r>
    </w:p>
    <w:p>
      <w:pPr>
        <w:spacing w:after="0" w:line="119"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We have designed our executive compensation program to attract and retain executives who can help us meet our business objectives and to motivate our executives to enhance long-term stockholder value. The Compensation Committee, with input from an independent compensation consultant, manages and oversees our executive compensation program. At the end of each year, and as otherwise required, the Compensation Committee approves the total compensation for each of our executive officers. In addition, the full Board reviews and approves the Compensation Committee’s recommendations regarding the compensation of executive officers.</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Compensation Committee’s responsibilities include:</w:t>
      </w:r>
    </w:p>
    <w:p>
      <w:pPr>
        <w:spacing w:after="0" w:line="117" w:lineRule="exact"/>
        <w:rPr>
          <w:sz w:val="20"/>
          <w:szCs w:val="20"/>
          <w:color w:val="auto"/>
        </w:rPr>
      </w:pPr>
    </w:p>
    <w:p>
      <w:pPr>
        <w:ind w:left="700" w:hanging="356"/>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overall compensation strategy;</w:t>
      </w:r>
    </w:p>
    <w:p>
      <w:pPr>
        <w:spacing w:after="0" w:line="117" w:lineRule="exact"/>
        <w:rPr>
          <w:rFonts w:ascii="Times New Roman" w:cs="Times New Roman" w:eastAsia="Times New Roman" w:hAnsi="Times New Roman"/>
          <w:sz w:val="18"/>
          <w:szCs w:val="18"/>
          <w:color w:val="auto"/>
        </w:rPr>
      </w:pPr>
    </w:p>
    <w:p>
      <w:pPr>
        <w:ind w:left="700" w:right="520" w:hanging="356"/>
        <w:spacing w:after="0" w:line="282" w:lineRule="auto"/>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performance goals and objectives relevant to the compensation of our executive officers;</w:t>
      </w:r>
    </w:p>
    <w:p>
      <w:pPr>
        <w:spacing w:after="0" w:line="53" w:lineRule="exact"/>
        <w:rPr>
          <w:rFonts w:ascii="Times New Roman" w:cs="Times New Roman" w:eastAsia="Times New Roman" w:hAnsi="Times New Roman"/>
          <w:sz w:val="18"/>
          <w:szCs w:val="18"/>
          <w:color w:val="auto"/>
        </w:rPr>
      </w:pPr>
    </w:p>
    <w:p>
      <w:pPr>
        <w:ind w:left="700" w:hanging="356"/>
        <w:spacing w:after="0" w:line="282" w:lineRule="auto"/>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recommending to the Board the compensation plans and programs advisable for Ionis, as well as modifying or terminating existing plans and programs;</w:t>
      </w:r>
    </w:p>
    <w:p>
      <w:pPr>
        <w:spacing w:after="0" w:line="53"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with respect to stock compensation arrangements;</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compensation arrangements for our executive officers, including our Chief Executive Officer;</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compensation arrangements for our Directors;</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stock-based awards and ESPP;</w:t>
      </w:r>
    </w:p>
    <w:p>
      <w:pPr>
        <w:spacing w:after="0" w:line="117" w:lineRule="exact"/>
        <w:rPr>
          <w:rFonts w:ascii="Times New Roman" w:cs="Times New Roman" w:eastAsia="Times New Roman" w:hAnsi="Times New Roman"/>
          <w:sz w:val="18"/>
          <w:szCs w:val="18"/>
          <w:color w:val="auto"/>
        </w:rPr>
      </w:pPr>
    </w:p>
    <w:p>
      <w:pPr>
        <w:ind w:left="700" w:right="100" w:hanging="356"/>
        <w:spacing w:after="0" w:line="282" w:lineRule="auto"/>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risks associated with our compensation policies and practices and assessing whether these risks are reasonably likely to have a material adverse effect on us;</w:t>
      </w:r>
    </w:p>
    <w:p>
      <w:pPr>
        <w:spacing w:after="0" w:line="53"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retaining a qualified, independent compensation consultant;</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other functions as may be necessary or convenient in the efficient discharge of the foregoing; and</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Board from time to time, or whenever it is called upon to do so.</w:t>
      </w:r>
    </w:p>
    <w:p>
      <w:pPr>
        <w:spacing w:after="0" w:line="117" w:lineRule="exact"/>
        <w:rPr>
          <w:sz w:val="20"/>
          <w:szCs w:val="20"/>
          <w:color w:val="auto"/>
        </w:rPr>
      </w:pPr>
    </w:p>
    <w:p>
      <w:pPr>
        <w:ind w:right="180" w:firstLine="360"/>
        <w:spacing w:after="0" w:line="282" w:lineRule="auto"/>
        <w:rPr>
          <w:sz w:val="20"/>
          <w:szCs w:val="20"/>
          <w:color w:val="auto"/>
        </w:rPr>
      </w:pPr>
      <w:r>
        <w:rPr>
          <w:rFonts w:ascii="Times New Roman" w:cs="Times New Roman" w:eastAsia="Times New Roman" w:hAnsi="Times New Roman"/>
          <w:sz w:val="18"/>
          <w:szCs w:val="18"/>
          <w:color w:val="auto"/>
        </w:rPr>
        <w:t>As the SEC continues to adopt the final rules implementing and defining the Dodd-Frank legislation, Ionis’ management and the Compensation Committee will:</w:t>
      </w:r>
    </w:p>
    <w:p>
      <w:pPr>
        <w:spacing w:after="0" w:line="54" w:lineRule="exact"/>
        <w:rPr>
          <w:sz w:val="20"/>
          <w:szCs w:val="20"/>
          <w:color w:val="auto"/>
        </w:rPr>
      </w:pPr>
    </w:p>
    <w:p>
      <w:pPr>
        <w:ind w:left="700" w:hanging="356"/>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SEC’s adoption of the final rules and definitions; and</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Ionis’ compensation policies as necessary to satisfy the new rules.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Compensation Consultant</w:t>
      </w:r>
    </w:p>
    <w:p>
      <w:pPr>
        <w:spacing w:after="0" w:line="119" w:lineRule="exact"/>
        <w:rPr>
          <w:sz w:val="20"/>
          <w:szCs w:val="20"/>
          <w:color w:val="auto"/>
        </w:rPr>
      </w:pPr>
    </w:p>
    <w:p>
      <w:pPr>
        <w:ind w:right="340"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has the authority and budget to hire an independent compensation consultant as it deems necessary. The Compensation Committee has retained Marsh &amp; McLennan Agency (formerly Barney &amp; Barney LLC) as its independent compensation consultant. For 2017, Marsh &amp; McLennan Agency primarily provided the Compensation Committee advice in the following areas:</w:t>
      </w:r>
    </w:p>
    <w:p>
      <w:pPr>
        <w:spacing w:after="0" w:line="72" w:lineRule="exact"/>
        <w:rPr>
          <w:sz w:val="20"/>
          <w:szCs w:val="20"/>
          <w:color w:val="auto"/>
        </w:rPr>
      </w:pPr>
    </w:p>
    <w:p>
      <w:pPr>
        <w:ind w:left="700" w:hanging="35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2017 Executive Peer Group;</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pay mix for our named executive officers;</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short-term and long-term incentives for our executive officers; and</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our equity utilization.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 &amp; McLennan Agency did not provide any additional services to us or our affiliates.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Philosophy</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compensation philosophy supports and rewards the characteristics and behaviors we believe will make us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firstLine="36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Pay for Performance</w:t>
      </w:r>
      <w:r>
        <w:rPr>
          <w:rFonts w:ascii="Times New Roman" w:cs="Times New Roman" w:eastAsia="Times New Roman" w:hAnsi="Times New Roman"/>
          <w:sz w:val="18"/>
          <w:szCs w:val="18"/>
          <w:color w:val="auto"/>
        </w:rPr>
        <w:t>. We incorporate a number of features into our compensation structure to mitigate the risk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compensation policies and practices could encourage unnecessary or imprudent business risk taking. We use a combination of compensation vehicles that provide a balanced mix of fixed and variable cash incentives, and long-term stock incentives. Our Performance MBOs are not guaranteed (i.e., are 100% at risk) and include a multiplier, or performance factor, based on Ionis’ and the employee’s performance. Therefore, if </w:t>
      </w:r>
      <w:r>
        <w:rPr>
          <w:rFonts w:ascii="Times New Roman" w:cs="Times New Roman" w:eastAsia="Times New Roman" w:hAnsi="Times New Roman"/>
          <w:sz w:val="18"/>
          <w:szCs w:val="18"/>
          <w:i w:val="1"/>
          <w:iCs w:val="1"/>
          <w:u w:val="single" w:color="auto"/>
          <w:color w:val="auto"/>
        </w:rPr>
        <w:t>either</w:t>
      </w:r>
      <w:r>
        <w:rPr>
          <w:rFonts w:ascii="Times New Roman" w:cs="Times New Roman" w:eastAsia="Times New Roman" w:hAnsi="Times New Roman"/>
          <w:sz w:val="18"/>
          <w:szCs w:val="18"/>
          <w:color w:val="auto"/>
        </w:rPr>
        <w:t xml:space="preserve"> Ionis or the employee performs poorly, the Performance MBO can be, and has been, zero.</w:t>
      </w:r>
    </w:p>
    <w:p>
      <w:pPr>
        <w:spacing w:after="0" w:line="75"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CEO Pay Ratio</w:t>
      </w:r>
      <w:r>
        <w:rPr>
          <w:rFonts w:ascii="Times New Roman" w:cs="Times New Roman" w:eastAsia="Times New Roman" w:hAnsi="Times New Roman"/>
          <w:sz w:val="18"/>
          <w:szCs w:val="18"/>
          <w:color w:val="auto"/>
        </w:rPr>
        <w:t>. An executive officer’s salary plus bonus represents the officer’s total cash compensation. Our philosophy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to have the CEO’s total cash compensation be between 20-30 times the lowest levels of compensation received by an employee. Dr. Crooke’s total cash compensation, over the last three years, was on average approximately 30 times that of the average cash compensation for our lowest level employees and 2.23 times greater than the average of our other executive officers.</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cover the specific elements of our compensation structure in more detail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Objectives</w:t>
      </w:r>
    </w:p>
    <w:p>
      <w:pPr>
        <w:spacing w:after="0" w:line="119" w:lineRule="exact"/>
        <w:rPr>
          <w:sz w:val="20"/>
          <w:szCs w:val="20"/>
          <w:color w:val="auto"/>
        </w:rPr>
      </w:pPr>
    </w:p>
    <w:p>
      <w:pPr>
        <w:ind w:right="380" w:firstLine="360"/>
        <w:spacing w:after="0" w:line="282" w:lineRule="auto"/>
        <w:rPr>
          <w:sz w:val="20"/>
          <w:szCs w:val="20"/>
          <w:color w:val="auto"/>
        </w:rPr>
      </w:pPr>
      <w:r>
        <w:rPr>
          <w:rFonts w:ascii="Times New Roman" w:cs="Times New Roman" w:eastAsia="Times New Roman" w:hAnsi="Times New Roman"/>
          <w:sz w:val="18"/>
          <w:szCs w:val="18"/>
          <w:color w:val="auto"/>
        </w:rPr>
        <w:t>As noted above, our vision is clear and is designed to promote long-term creation of value through innovation, and bring benefit to generations of patients with many diseases. Our vision is to:</w:t>
      </w:r>
    </w:p>
    <w:p>
      <w:pPr>
        <w:spacing w:after="0" w:line="54" w:lineRule="exact"/>
        <w:rPr>
          <w:sz w:val="20"/>
          <w:szCs w:val="20"/>
          <w:color w:val="auto"/>
        </w:rPr>
      </w:pPr>
    </w:p>
    <w:p>
      <w:pPr>
        <w:ind w:left="700" w:hanging="35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and constantly advance a new, more efficient drug discovery platform – antisense technology;</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unique business model and culture committed to creating long-term value through innovation;</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deepen and advance our pipeline of antisense drugs;</w:t>
      </w:r>
    </w:p>
    <w:p>
      <w:pPr>
        <w:spacing w:after="0" w:line="117" w:lineRule="exact"/>
        <w:rPr>
          <w:rFonts w:ascii="Times New Roman" w:cs="Times New Roman" w:eastAsia="Times New Roman" w:hAnsi="Times New Roman"/>
          <w:sz w:val="18"/>
          <w:szCs w:val="18"/>
          <w:color w:val="auto"/>
        </w:rPr>
      </w:pPr>
    </w:p>
    <w:p>
      <w:pPr>
        <w:ind w:left="700" w:right="740" w:hanging="356"/>
        <w:spacing w:after="0" w:line="282"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more of every employee - more commitment, more knowledge, more intensity, more innovation, more productivity;</w:t>
      </w:r>
    </w:p>
    <w:p>
      <w:pPr>
        <w:spacing w:after="0" w:line="53"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aggressively manage average and below average performance so that every employee produces more; and</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great performance and pay for that performance.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7" w:right="1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right="4180" w:firstLine="270"/>
        <w:spacing w:after="0" w:line="255" w:lineRule="auto"/>
        <w:rPr>
          <w:sz w:val="20"/>
          <w:szCs w:val="20"/>
          <w:color w:val="auto"/>
        </w:rPr>
      </w:pPr>
      <w:r>
        <w:rPr>
          <w:rFonts w:ascii="Times New Roman" w:cs="Times New Roman" w:eastAsia="Times New Roman" w:hAnsi="Times New Roman"/>
          <w:sz w:val="18"/>
          <w:szCs w:val="18"/>
          <w:color w:val="auto"/>
        </w:rPr>
        <w:t>Drug discovery and development across a portfolio of many drugs (currently 45 for Ionis) is a long process that spans many years, where decisions we make today can have a positive or negative consequence five years, ten years, and even further into the future. As such, it is essential we set goals that incentivize our employees to execute our long-term strategy, because we believe our long-term strategy should continue to reward our stockholders into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-871220</wp:posOffset>
            </wp:positionV>
            <wp:extent cx="2015490" cy="840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15490" cy="840740"/>
                    </a:xfrm>
                    <a:prstGeom prst="rect">
                      <a:avLst/>
                    </a:prstGeom>
                    <a:noFill/>
                  </pic:spPr>
                </pic:pic>
              </a:graphicData>
            </a:graphic>
          </wp:anchor>
        </w:drawing>
      </w:r>
    </w:p>
    <w:p>
      <w:pPr>
        <w:spacing w:after="0" w:line="75"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For us to retain our technology leadership and effectively manage the technical complexity and broad scope of our development pipeline, our most senior executives and the members of their teams must advance multiple drug strategies and collaborative partnerships in parallel and consistently over many years, versus emphasizing one or two at the expense of others that deserve attention. As a result, other than stock price, budget and our annual financial guidance to Wall Street, we currently do not use financial-based metrics as objectives, such as earnings per share, because financial metrics typically overly emphasize two or three annual business metrics and ignore the complexity of the tasks we are undertaking. By taking this approach, we avoid the temptation to deviate from creating fundamental long-term value to meet a short-term metric.</w:t>
      </w:r>
    </w:p>
    <w:p>
      <w:pPr>
        <w:spacing w:after="0" w:line="81" w:lineRule="exact"/>
        <w:rPr>
          <w:sz w:val="20"/>
          <w:szCs w:val="20"/>
          <w:color w:val="auto"/>
        </w:rPr>
      </w:pPr>
    </w:p>
    <w:p>
      <w:pPr>
        <w:ind w:right="40" w:firstLine="360"/>
        <w:spacing w:after="0" w:line="277" w:lineRule="auto"/>
        <w:rPr>
          <w:sz w:val="20"/>
          <w:szCs w:val="20"/>
          <w:color w:val="auto"/>
        </w:rPr>
      </w:pPr>
      <w:r>
        <w:rPr>
          <w:rFonts w:ascii="Times New Roman" w:cs="Times New Roman" w:eastAsia="Times New Roman" w:hAnsi="Times New Roman"/>
          <w:sz w:val="17"/>
          <w:szCs w:val="17"/>
          <w:color w:val="auto"/>
        </w:rPr>
        <w:t>We structure our corporate objectives so they are results driven rather than task driven. We typically include a number of objectives that are based on achieving positive data in the clinic. For example, in 2017 we had a corporate objective to advance our pipeline with one of the measures being to achieve positive data from four Phase 2 studies. This type of objective only rewards our employees if the data are positive – we do this to encourage the prudent spending of stockholder money on development decisions. In other words, we want to structure our objectives to reward success based on judgment, rather than the making of “bad bets.”</w:t>
      </w:r>
    </w:p>
    <w:p>
      <w:pPr>
        <w:spacing w:after="0" w:line="60" w:lineRule="exact"/>
        <w:rPr>
          <w:sz w:val="20"/>
          <w:szCs w:val="20"/>
          <w:color w:val="auto"/>
        </w:rPr>
      </w:pPr>
    </w:p>
    <w:p>
      <w:pPr>
        <w:jc w:val="both"/>
        <w:ind w:right="80" w:firstLine="360"/>
        <w:spacing w:after="0" w:line="266" w:lineRule="auto"/>
        <w:rPr>
          <w:sz w:val="20"/>
          <w:szCs w:val="20"/>
          <w:color w:val="auto"/>
        </w:rPr>
      </w:pPr>
      <w:r>
        <w:rPr>
          <w:rFonts w:ascii="Times New Roman" w:cs="Times New Roman" w:eastAsia="Times New Roman" w:hAnsi="Times New Roman"/>
          <w:sz w:val="18"/>
          <w:szCs w:val="18"/>
          <w:color w:val="auto"/>
        </w:rPr>
        <w:t>At the beginning of each year, we set aggressive corporate objectives, including objective measures, that our Board approves. On at least a quarterly basis, the Board evaluates our progress in achieving these objectives. We define excellent performance as a year in which we have met most of our objectives.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Importance of Tenure; Our Investment in Knowledge-Rich Employees</w:t>
      </w:r>
    </w:p>
    <w:p>
      <w:pPr>
        <w:spacing w:after="0" w:line="11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It takes a significant period of time and a substantial investment to recruit and develop employees who possess the experience and talent necessary to lead at Ionis given our innovative technology, innovative business strategy and complex drug development pipeline. Senior executives must have experience with all aspects of our business to be effective leaders. Our drug technology is a “platform technology,” which means the more knowledge and experience an employee has with our technology platform, the better equipped she or he is to create value at Ionis. Given the uniqueness and complexity of our technology, it is critical to retain the knowledge and experience of outstanding long service employees. The experience and seniority of our employees is critical to our future success. For these reasons, it is our objective to attract and retain the best talent available and to invest in those individuals who deliver long-term productivity.</w:t>
      </w:r>
    </w:p>
    <w:p>
      <w:pPr>
        <w:spacing w:after="0" w:line="77" w:lineRule="exact"/>
        <w:rPr>
          <w:sz w:val="20"/>
          <w:szCs w:val="20"/>
          <w:color w:val="auto"/>
        </w:rPr>
      </w:pPr>
    </w:p>
    <w:p>
      <w:pPr>
        <w:ind w:left="700" w:right="660" w:hanging="356"/>
        <w:spacing w:after="0" w:line="282" w:lineRule="auto"/>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tenure among a dedicated and highly skilled workforce, combined with the highest performance standards, contributes to our leadership in the industry and serves the interests of stockholders.</w:t>
      </w:r>
    </w:p>
    <w:p>
      <w:pPr>
        <w:spacing w:after="0" w:line="53" w:lineRule="exact"/>
        <w:rPr>
          <w:rFonts w:ascii="Times New Roman" w:cs="Times New Roman" w:eastAsia="Times New Roman" w:hAnsi="Times New Roman"/>
          <w:sz w:val="18"/>
          <w:szCs w:val="18"/>
          <w:color w:val="auto"/>
        </w:rPr>
      </w:pPr>
    </w:p>
    <w:p>
      <w:pPr>
        <w:ind w:left="700" w:right="240" w:hanging="356"/>
        <w:spacing w:after="0" w:line="282" w:lineRule="auto"/>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retention is coupled to a strong belief that executive talent most often should be developed and promoted from within Ionis.</w:t>
      </w:r>
    </w:p>
    <w:p>
      <w:pPr>
        <w:spacing w:after="0" w:line="53"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 tenure of high-performing executive officers reflects this strategy at all levels of the organization.</w:t>
      </w:r>
    </w:p>
    <w:p>
      <w:pPr>
        <w:sectPr>
          <w:pgSz w:w="11900" w:h="16838" w:orient="portrait"/>
          <w:cols w:equalWidth="0" w:num="1">
            <w:col w:w="9460"/>
          </w:cols>
          <w:pgMar w:left="1180" w:top="277" w:right="1259" w:bottom="1440" w:gutter="0" w:footer="0" w:header="0"/>
        </w:sectPr>
      </w:pPr>
    </w:p>
    <w:p>
      <w:pPr>
        <w:spacing w:after="0" w:line="1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named executive officers, or NEOs, who served in 2017 have on average 25 years and as much as 29 years of tenure at Ionis.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officers who served in 2017 have on average over 16 years of tenure at Ionis.</w:t>
      </w:r>
    </w:p>
    <w:p>
      <w:pPr>
        <w:spacing w:after="0" w:line="117" w:lineRule="exact"/>
        <w:rPr>
          <w:sz w:val="20"/>
          <w:szCs w:val="20"/>
          <w:color w:val="auto"/>
        </w:rPr>
      </w:pPr>
    </w:p>
    <w:p>
      <w:pPr>
        <w:sectPr>
          <w:pgSz w:w="11900" w:h="16838" w:orient="portrait"/>
          <w:cols w:equalWidth="0" w:num="2">
            <w:col w:w="780" w:space="280"/>
            <w:col w:w="8400"/>
          </w:cols>
          <w:pgMar w:left="1180" w:top="277" w:right="1259" w:bottom="1440" w:gutter="0" w:footer="0" w:header="0"/>
          <w:type w:val="continuous"/>
        </w:sectPr>
      </w:pPr>
    </w:p>
    <w:p>
      <w:pPr>
        <w:ind w:left="700" w:right="180" w:hanging="356"/>
        <w:spacing w:after="0" w:line="289" w:lineRule="auto"/>
        <w:tabs>
          <w:tab w:leader="none" w:pos="7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executive officers has been carefully evaluated and selected through a rigorous performance assessment process over a long career. In their current assignments, they remain subject to a challenging annual performance assessment in which they must continue to meet the highest standards or be reassigned or separated from the Company.</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7" w:right="12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Elements of Executive Compensation</w:t>
      </w:r>
    </w:p>
    <w:p>
      <w:pPr>
        <w:spacing w:after="0" w:line="79" w:lineRule="exact"/>
        <w:rPr>
          <w:sz w:val="20"/>
          <w:szCs w:val="20"/>
          <w:color w:val="auto"/>
        </w:rPr>
      </w:pPr>
    </w:p>
    <w:p>
      <w:pPr>
        <w:ind w:right="4120" w:firstLine="270"/>
        <w:spacing w:after="0" w:line="269" w:lineRule="auto"/>
        <w:rPr>
          <w:sz w:val="20"/>
          <w:szCs w:val="20"/>
          <w:color w:val="auto"/>
        </w:rPr>
      </w:pPr>
      <w:r>
        <w:rPr>
          <w:rFonts w:ascii="Times New Roman" w:cs="Times New Roman" w:eastAsia="Times New Roman" w:hAnsi="Times New Roman"/>
          <w:sz w:val="17"/>
          <w:szCs w:val="17"/>
          <w:color w:val="auto"/>
        </w:rPr>
        <w:t>Employees in our organization do not share either accountability or responsibility equally for strategic and/or tactical decisions. It is well ingrained in our culture that not everyone should share the same level of risk/reward for the consequences of these decisions. As a result, we have structured the various components of our compensation system to reflect accountability both for the successes and failures (both long-term and short-term) of Ionis and our employees. We pay our senior management team for results and their use of judgment in executing the strategies they have established. Therefore, the more senior a person becomes within Ionis, the more the person’s cash compensation will be “at risk.” We compensate the more junior employees for accomplishing their work well and, therefore, a lower portion of their cash compensation is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-1579880</wp:posOffset>
            </wp:positionV>
            <wp:extent cx="2015490" cy="14490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15490" cy="1449070"/>
                    </a:xfrm>
                    <a:prstGeom prst="rect">
                      <a:avLst/>
                    </a:prstGeom>
                    <a:noFill/>
                  </pic:spPr>
                </pic:pic>
              </a:graphicData>
            </a:graphic>
          </wp:anchor>
        </w:drawing>
      </w:r>
    </w:p>
    <w:p>
      <w:pPr>
        <w:spacing w:after="0" w:line="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executive officers’ total compensation consists of four elements:</w:t>
      </w:r>
    </w:p>
    <w:p>
      <w:pPr>
        <w:spacing w:after="0" w:line="117" w:lineRule="exact"/>
        <w:rPr>
          <w:sz w:val="20"/>
          <w:szCs w:val="20"/>
          <w:color w:val="auto"/>
        </w:rPr>
      </w:pPr>
    </w:p>
    <w:p>
      <w:pPr>
        <w:ind w:left="700" w:hanging="35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MBO – Performance Based – At Risk Cash Compensation, no portion of which is guaranteed,</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and</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 benefits, including 401(k) matching, that we provide to all employees.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MBO – Performance Based – At Risk Cash Compensation is the only element that does not apply to all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at the director level and above are eligible to receive Performance MBOs.</w:t>
      </w:r>
    </w:p>
    <w:p>
      <w:pPr>
        <w:spacing w:after="0" w:line="99" w:lineRule="exact"/>
        <w:rPr>
          <w:sz w:val="20"/>
          <w:szCs w:val="20"/>
          <w:color w:val="auto"/>
        </w:rPr>
      </w:pPr>
    </w:p>
    <w:p>
      <w:pPr>
        <w:ind w:right="360" w:firstLine="360"/>
        <w:spacing w:after="0" w:line="282" w:lineRule="auto"/>
        <w:rPr>
          <w:sz w:val="20"/>
          <w:szCs w:val="20"/>
          <w:color w:val="auto"/>
        </w:rPr>
      </w:pPr>
      <w:r>
        <w:rPr>
          <w:rFonts w:ascii="Times New Roman" w:cs="Times New Roman" w:eastAsia="Times New Roman" w:hAnsi="Times New Roman"/>
          <w:sz w:val="18"/>
          <w:szCs w:val="18"/>
          <w:color w:val="auto"/>
        </w:rPr>
        <w:t>We consider many factors in determining the amounts we grant to our executives for each of the first three compensation elements listed above. These factors include:</w:t>
      </w:r>
    </w:p>
    <w:p>
      <w:pPr>
        <w:spacing w:after="0" w:line="13" w:lineRule="exact"/>
        <w:rPr>
          <w:sz w:val="20"/>
          <w:szCs w:val="20"/>
          <w:color w:val="auto"/>
        </w:rPr>
      </w:pPr>
    </w:p>
    <w:p>
      <w:pPr>
        <w:ind w:left="600" w:right="4160" w:hanging="292"/>
        <w:spacing w:after="0" w:line="282" w:lineRule="auto"/>
        <w:tabs>
          <w:tab w:leader="none" w:pos="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company-wide performance, including achievement of corporate objectives;</w:t>
      </w:r>
    </w:p>
    <w:p>
      <w:pPr>
        <w:spacing w:after="0" w:line="80" w:lineRule="exact"/>
        <w:rPr>
          <w:rFonts w:ascii="Times New Roman" w:cs="Times New Roman" w:eastAsia="Times New Roman" w:hAnsi="Times New Roman"/>
          <w:sz w:val="18"/>
          <w:szCs w:val="18"/>
          <w:color w:val="auto"/>
        </w:rPr>
      </w:pPr>
    </w:p>
    <w:p>
      <w:pPr>
        <w:ind w:left="600" w:right="4400" w:hanging="292"/>
        <w:spacing w:after="0" w:line="184" w:lineRule="auto"/>
        <w:tabs>
          <w:tab w:leader="none" w:pos="600" w:val="left"/>
        </w:tabs>
        <w:numPr>
          <w:ilvl w:val="0"/>
          <w:numId w:val="48"/>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the Compensation Committee’s assessment of our CEO’s and executive officers’ individual performance;</w:t>
      </w:r>
    </w:p>
    <w:p>
      <w:pPr>
        <w:ind w:left="600" w:hanging="292"/>
        <w:spacing w:after="0" w:line="184" w:lineRule="auto"/>
        <w:tabs>
          <w:tab w:leader="none" w:pos="600" w:val="left"/>
        </w:tabs>
        <w:numPr>
          <w:ilvl w:val="0"/>
          <w:numId w:val="4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7"/>
          <w:szCs w:val="17"/>
          <w:color w:val="auto"/>
        </w:rPr>
        <w:t>competitive compensation practices;</w:t>
      </w:r>
    </w:p>
    <w:p>
      <w:pPr>
        <w:spacing w:after="0" w:line="57" w:lineRule="exact"/>
        <w:rPr>
          <w:rFonts w:ascii="Times New Roman" w:cs="Times New Roman" w:eastAsia="Times New Roman" w:hAnsi="Times New Roman"/>
          <w:sz w:val="32"/>
          <w:szCs w:val="32"/>
          <w:color w:val="auto"/>
          <w:vertAlign w:val="superscript"/>
        </w:rPr>
      </w:pPr>
    </w:p>
    <w:p>
      <w:pPr>
        <w:ind w:left="600" w:hanging="292"/>
        <w:spacing w:after="0"/>
        <w:tabs>
          <w:tab w:leader="none" w:pos="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efficiencies and process improvements;</w:t>
      </w:r>
    </w:p>
    <w:p>
      <w:pPr>
        <w:spacing w:after="0" w:line="43" w:lineRule="exact"/>
        <w:rPr>
          <w:rFonts w:ascii="Times New Roman" w:cs="Times New Roman" w:eastAsia="Times New Roman" w:hAnsi="Times New Roman"/>
          <w:sz w:val="18"/>
          <w:szCs w:val="18"/>
          <w:color w:val="auto"/>
        </w:rPr>
      </w:pPr>
    </w:p>
    <w:p>
      <w:pPr>
        <w:ind w:left="600" w:hanging="292"/>
        <w:spacing w:after="0"/>
        <w:tabs>
          <w:tab w:leader="none" w:pos="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collaboration and teamwork;</w:t>
      </w:r>
    </w:p>
    <w:p>
      <w:pPr>
        <w:spacing w:after="0" w:line="27" w:lineRule="exact"/>
        <w:rPr>
          <w:rFonts w:ascii="Times New Roman" w:cs="Times New Roman" w:eastAsia="Times New Roman" w:hAnsi="Times New Roman"/>
          <w:sz w:val="18"/>
          <w:szCs w:val="18"/>
          <w:color w:val="auto"/>
        </w:rPr>
      </w:pPr>
    </w:p>
    <w:p>
      <w:pPr>
        <w:ind w:left="600" w:hanging="292"/>
        <w:spacing w:after="0" w:line="184" w:lineRule="auto"/>
        <w:tabs>
          <w:tab w:leader="none" w:pos="600" w:val="left"/>
        </w:tabs>
        <w:numPr>
          <w:ilvl w:val="0"/>
          <w:numId w:val="4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7"/>
          <w:szCs w:val="17"/>
          <w:color w:val="auto"/>
        </w:rPr>
        <w:t>individual expertise, skills and knowledge;</w:t>
      </w:r>
    </w:p>
    <w:p>
      <w:pPr>
        <w:spacing w:after="0" w:line="57" w:lineRule="exact"/>
        <w:rPr>
          <w:rFonts w:ascii="Times New Roman" w:cs="Times New Roman" w:eastAsia="Times New Roman" w:hAnsi="Times New Roman"/>
          <w:sz w:val="32"/>
          <w:szCs w:val="32"/>
          <w:color w:val="auto"/>
          <w:vertAlign w:val="superscript"/>
        </w:rPr>
      </w:pPr>
    </w:p>
    <w:p>
      <w:pPr>
        <w:ind w:left="600" w:hanging="292"/>
        <w:spacing w:after="0"/>
        <w:tabs>
          <w:tab w:leader="none" w:pos="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retain and motivate;</w:t>
      </w:r>
    </w:p>
    <w:p>
      <w:pPr>
        <w:spacing w:after="0" w:line="43" w:lineRule="exact"/>
        <w:rPr>
          <w:rFonts w:ascii="Times New Roman" w:cs="Times New Roman" w:eastAsia="Times New Roman" w:hAnsi="Times New Roman"/>
          <w:sz w:val="18"/>
          <w:szCs w:val="18"/>
          <w:color w:val="auto"/>
        </w:rPr>
      </w:pPr>
    </w:p>
    <w:p>
      <w:pPr>
        <w:ind w:left="600" w:hanging="292"/>
        <w:spacing w:after="0"/>
        <w:tabs>
          <w:tab w:leader="none" w:pos="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 individual’s judgment has on our success or failure; and</w:t>
      </w:r>
    </w:p>
    <w:p>
      <w:pPr>
        <w:spacing w:after="0" w:line="36" w:lineRule="exact"/>
        <w:rPr>
          <w:rFonts w:ascii="Times New Roman" w:cs="Times New Roman" w:eastAsia="Times New Roman" w:hAnsi="Times New Roman"/>
          <w:sz w:val="18"/>
          <w:szCs w:val="18"/>
          <w:color w:val="auto"/>
        </w:rPr>
      </w:pPr>
    </w:p>
    <w:p>
      <w:pPr>
        <w:ind w:left="600" w:right="4660" w:hanging="292"/>
        <w:spacing w:after="0" w:line="282" w:lineRule="auto"/>
        <w:tabs>
          <w:tab w:leader="none" w:pos="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advice of the Compensation Committee’s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3807460</wp:posOffset>
            </wp:positionH>
            <wp:positionV relativeFrom="paragraph">
              <wp:posOffset>-1994535</wp:posOffset>
            </wp:positionV>
            <wp:extent cx="2084070" cy="19723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84070" cy="1972310"/>
                    </a:xfrm>
                    <a:prstGeom prst="rect">
                      <a:avLst/>
                    </a:prstGeom>
                    <a:noFill/>
                  </pic:spPr>
                </pic:pic>
              </a:graphicData>
            </a:graphic>
          </wp:anchor>
        </w:drawing>
      </w:r>
    </w:p>
    <w:p>
      <w:pPr>
        <w:spacing w:after="0" w:line="11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relies on these and other factors such as general economic conditions, industry conditions, and the Compensation Committee’s collective business judgment in setting and/or approving the appropriate increases. We do not have specific weightings assigned to these factors, as the importance of each factor can vary among the executive officers and from year to year.</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7" w:right="1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w:t>
      </w:r>
    </w:p>
    <w:p>
      <w:pPr>
        <w:spacing w:after="0" w:line="119" w:lineRule="exact"/>
        <w:rPr>
          <w:sz w:val="20"/>
          <w:szCs w:val="20"/>
          <w:color w:val="auto"/>
        </w:rPr>
      </w:pPr>
    </w:p>
    <w:p>
      <w:pPr>
        <w:ind w:right="380"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considers relevant market pay practices when setting executive compensation to ensure our ability to recruit and retain high performing talent.</w:t>
      </w:r>
    </w:p>
    <w:p>
      <w:pPr>
        <w:spacing w:after="0" w:line="54"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As part of setting the 2017 compensation, the Compensation Committee, in consultation with its independent compensation consultant, evaluated and selected a peer group of 20 life science companies for evaluating Ionis’ compensation (the “Executive Peer Group”). The Compensation Committee reviews the compensation of our NEOs against the Executive Peer Group’s executive compensation to ensure that our compensation is competitive and to inform and shape its decision-making when setting compensation. However, the Compensation Committee does not strictly adhere to quantitative benchmarks.</w:t>
      </w:r>
    </w:p>
    <w:p>
      <w:pPr>
        <w:spacing w:after="0" w:line="76" w:lineRule="exact"/>
        <w:rPr>
          <w:sz w:val="20"/>
          <w:szCs w:val="20"/>
          <w:color w:val="auto"/>
        </w:rPr>
      </w:pPr>
    </w:p>
    <w:p>
      <w:pPr>
        <w:ind w:right="600" w:firstLine="360"/>
        <w:spacing w:after="0" w:line="282" w:lineRule="auto"/>
        <w:rPr>
          <w:sz w:val="20"/>
          <w:szCs w:val="20"/>
          <w:color w:val="auto"/>
        </w:rPr>
      </w:pPr>
      <w:r>
        <w:rPr>
          <w:rFonts w:ascii="Times New Roman" w:cs="Times New Roman" w:eastAsia="Times New Roman" w:hAnsi="Times New Roman"/>
          <w:sz w:val="18"/>
          <w:szCs w:val="18"/>
          <w:color w:val="auto"/>
        </w:rPr>
        <w:t>The Executive Peer Group, which the Compensation Committee reviews on an annual basis, consists of companies that generally:</w:t>
      </w:r>
    </w:p>
    <w:p>
      <w:pPr>
        <w:spacing w:after="0" w:line="54" w:lineRule="exact"/>
        <w:rPr>
          <w:sz w:val="20"/>
          <w:szCs w:val="20"/>
          <w:color w:val="auto"/>
        </w:rPr>
      </w:pPr>
    </w:p>
    <w:p>
      <w:pPr>
        <w:ind w:left="700" w:right="780" w:hanging="356"/>
        <w:spacing w:after="0" w:line="282" w:lineRule="auto"/>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similar to Ionis in terms of certain factors, including one or more of the following: size (i.e., revenue, market capitalization), industry and stage of development;</w:t>
      </w:r>
    </w:p>
    <w:p>
      <w:pPr>
        <w:spacing w:after="0" w:line="53" w:lineRule="exact"/>
        <w:rPr>
          <w:rFonts w:ascii="Times New Roman" w:cs="Times New Roman" w:eastAsia="Times New Roman" w:hAnsi="Times New Roman"/>
          <w:sz w:val="18"/>
          <w:szCs w:val="18"/>
          <w:color w:val="auto"/>
        </w:rPr>
      </w:pPr>
    </w:p>
    <w:p>
      <w:pPr>
        <w:ind w:left="700" w:right="780" w:hanging="356"/>
        <w:spacing w:after="0" w:line="282" w:lineRule="auto"/>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named executive officer positions that are comparable to ours in terms of breadth, complexity and scope of responsibilities; and</w:t>
      </w:r>
    </w:p>
    <w:p>
      <w:pPr>
        <w:spacing w:after="0" w:line="53"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with us for executive talent.</w:t>
      </w:r>
    </w:p>
    <w:p>
      <w:pPr>
        <w:spacing w:after="0" w:line="117" w:lineRule="exact"/>
        <w:rPr>
          <w:sz w:val="20"/>
          <w:szCs w:val="20"/>
          <w:color w:val="auto"/>
        </w:rPr>
      </w:pPr>
    </w:p>
    <w:p>
      <w:pPr>
        <w:ind w:right="220" w:firstLine="360"/>
        <w:spacing w:after="0" w:line="261" w:lineRule="auto"/>
        <w:rPr>
          <w:sz w:val="20"/>
          <w:szCs w:val="20"/>
          <w:color w:val="auto"/>
        </w:rPr>
      </w:pPr>
      <w:r>
        <w:rPr>
          <w:rFonts w:ascii="Times New Roman" w:cs="Times New Roman" w:eastAsia="Times New Roman" w:hAnsi="Times New Roman"/>
          <w:sz w:val="18"/>
          <w:szCs w:val="18"/>
          <w:color w:val="auto"/>
        </w:rPr>
        <w:t>The Executive Peer Group generally does not include companies headquartered outside the United States (because compensation and benefit practices are generally different outside the United States, the comparable compensation data for the named executive officers is not available and cost of living is different) or companies in industries whose compensation programs are not comparable to our programs, such as non-life science companies.</w:t>
      </w:r>
    </w:p>
    <w:p>
      <w:pPr>
        <w:spacing w:after="0" w:line="72"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In May 2017, the Compensation Committee reviewed the Executive Peer Group using the criteria listed above and publicly available data as of April 2017. The Compensation Committee noted Ionis’ market capitalization was approximately $5.0 billion. As part of this process, the Compensation Committee looked at companies in Ionis’ industry with market capitalizations of between $2.5 billion and $10 billion, including looking at companies that identified Ionis as a peer, so called “reverse peers.” Based on this evaluation, the Compensation Committee added Acadia Pharmaceuticals, Agios Pharmaceuticals, Exelixis, Horizon Pharma Ironwood Pharmaceuticals, Portola Pharmaceuticals and Tesaro to the Executive Peer Group, as these companies fell within or slightly below the market capitalization range, and were in Ionis’ sector. Agios Pharmaceuticals, Horizon Pharma, and Tesaro were also reverse peers. Additionally, the Compensation Committee removed Acorda Therapeutics, Halozyme Therapeutics, Innoviva (Theravance), MannKind and Pacira Pharmaceuticals because these companies fell well below the market capitalization range, and removed Anacor Pharmaceuticals, Ariad Pharmaceuticals and Medivation because other companies acquired them.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lists the companies in the 2017 Executive Peer Group, along with Ionis’ rankings among these companies, based on market capitalization, and financial data reported by each company for the most recently-reported fiscal year at the time the Compensation Committee selected the Executive Peer Group in May 2017.</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4540" w:type="dxa"/>
            <w:vAlign w:val="bottom"/>
            <w:tcBorders>
              <w:top w:val="single" w:sz="8" w:color="auto"/>
              <w:left w:val="single" w:sz="8" w:color="auto"/>
              <w:right w:val="single" w:sz="8" w:color="auto"/>
            </w:tcBorders>
          </w:tcPr>
          <w:p>
            <w:pPr>
              <w:spacing w:after="0"/>
              <w:rPr>
                <w:sz w:val="15"/>
                <w:szCs w:val="15"/>
                <w:color w:val="auto"/>
              </w:rPr>
            </w:pPr>
          </w:p>
        </w:tc>
        <w:tc>
          <w:tcPr>
            <w:tcW w:w="1740" w:type="dxa"/>
            <w:vAlign w:val="bottom"/>
            <w:tcBorders>
              <w:top w:val="single" w:sz="8" w:color="auto"/>
              <w:right w:val="single" w:sz="8" w:color="auto"/>
            </w:tcBorders>
          </w:tcPr>
          <w:p>
            <w:pPr>
              <w:spacing w:after="0"/>
              <w:rPr>
                <w:sz w:val="15"/>
                <w:szCs w:val="15"/>
                <w:color w:val="auto"/>
              </w:rPr>
            </w:pP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840" w:type="dxa"/>
            <w:vAlign w:val="bottom"/>
            <w:tcBorders>
              <w:top w:val="single" w:sz="8" w:color="auto"/>
              <w:right w:val="single" w:sz="8" w:color="auto"/>
            </w:tcBorders>
          </w:tcPr>
          <w:p>
            <w:pPr>
              <w:spacing w:after="0"/>
              <w:rPr>
                <w:sz w:val="15"/>
                <w:szCs w:val="15"/>
                <w:color w:val="auto"/>
              </w:rPr>
            </w:pPr>
          </w:p>
        </w:tc>
      </w:tr>
      <w:tr>
        <w:trPr>
          <w:trHeight w:val="162"/>
        </w:trPr>
        <w:tc>
          <w:tcPr>
            <w:tcW w:w="4540" w:type="dxa"/>
            <w:vAlign w:val="bottom"/>
            <w:tcBorders>
              <w:left w:val="single" w:sz="8" w:color="auto"/>
              <w:right w:val="single" w:sz="8" w:color="auto"/>
            </w:tcBorders>
          </w:tcPr>
          <w:p>
            <w:pPr>
              <w:spacing w:after="0"/>
              <w:rPr>
                <w:sz w:val="14"/>
                <w:szCs w:val="1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Revenues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Capitalization</w:t>
            </w:r>
          </w:p>
        </w:tc>
        <w:tc>
          <w:tcPr>
            <w:tcW w:w="1840" w:type="dxa"/>
            <w:vAlign w:val="bottom"/>
            <w:tcBorders>
              <w:right w:val="single" w:sz="8" w:color="auto"/>
            </w:tcBorders>
          </w:tcPr>
          <w:p>
            <w:pPr>
              <w:spacing w:after="0"/>
              <w:rPr>
                <w:sz w:val="14"/>
                <w:szCs w:val="14"/>
                <w:color w:val="auto"/>
              </w:rPr>
            </w:pPr>
          </w:p>
        </w:tc>
      </w:tr>
      <w:tr>
        <w:trPr>
          <w:trHeight w:val="18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Company (ticker)</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Stage of Lead Drug</w:t>
            </w:r>
          </w:p>
        </w:tc>
      </w:tr>
      <w:tr>
        <w:trPr>
          <w:trHeight w:val="232"/>
        </w:trPr>
        <w:tc>
          <w:tcPr>
            <w:tcW w:w="45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Acadia Pharmaceuticals (ACAD)</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$17.3</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$4,352.5</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Agios Pharmaceuticals (AGIO)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$69.9</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$2,415.4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37"/>
        </w:trPr>
        <w:tc>
          <w:tcPr>
            <w:tcW w:w="45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Akorn (AKRX)</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$1,116.8</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$3,041.6</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Alkermes (ALKS)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$745.7</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$9,111.7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37"/>
        </w:trPr>
        <w:tc>
          <w:tcPr>
            <w:tcW w:w="45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Alnylam Pharmaceuticals (ALNY)</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$47.2</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$4,547.9</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Phase III</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Clovis Oncology (CLVS)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$78.0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$2,872.2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Phase III</w:t>
            </w:r>
          </w:p>
        </w:tc>
      </w:tr>
      <w:tr>
        <w:trPr>
          <w:trHeight w:val="237"/>
        </w:trPr>
        <w:tc>
          <w:tcPr>
            <w:tcW w:w="45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Exelixis (EXEL)</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$191.5</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$6,143.1</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Horizon Pharma (HZNP)</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$981.1</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$2,454.5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37"/>
        </w:trPr>
        <w:tc>
          <w:tcPr>
            <w:tcW w:w="45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Intercept Pharmaceuticals (ICPT)</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$2,867.8</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NDA Filed</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Ironwood Pharmaceuticals (IRWD)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$274.0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$2,361.0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37"/>
        </w:trPr>
        <w:tc>
          <w:tcPr>
            <w:tcW w:w="45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Jazz Pharmaceuticals (JAZZ)</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$1,488.0</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$8,718.8</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Ligand Pharmaceuticals (LGND)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$109.0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$2,219.6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37"/>
        </w:trPr>
        <w:tc>
          <w:tcPr>
            <w:tcW w:w="45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Nektar Therapeutics (NKTR)</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$165.4</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$3,724.2</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Neurocrine Biosciences (NBIX)</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$3,743.3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NDA Filed</w:t>
            </w:r>
          </w:p>
        </w:tc>
      </w:tr>
      <w:tr>
        <w:trPr>
          <w:trHeight w:val="237"/>
        </w:trPr>
        <w:tc>
          <w:tcPr>
            <w:tcW w:w="45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Opko Health (OPK)</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$1,221.7</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$4,527.2</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Portola Pharmaceuticals (PTLA)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$35.5</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$2,217.0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NDA Filed</w:t>
            </w:r>
          </w:p>
        </w:tc>
      </w:tr>
      <w:tr>
        <w:trPr>
          <w:trHeight w:val="237"/>
        </w:trPr>
        <w:tc>
          <w:tcPr>
            <w:tcW w:w="45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Seattle Genetics (SGEN)</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$418.1</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$9,049.8</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Tesaro (TSRO)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$44.8</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$8,138.3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NDA Filed</w:t>
            </w:r>
          </w:p>
        </w:tc>
      </w:tr>
      <w:tr>
        <w:trPr>
          <w:trHeight w:val="237"/>
        </w:trPr>
        <w:tc>
          <w:tcPr>
            <w:tcW w:w="45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Medicines Company (MDCO)</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$167.8</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$3,566.2</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Therapeutics (UTHR)</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$1,598.8</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$6,238.0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37"/>
        </w:trPr>
        <w:tc>
          <w:tcPr>
            <w:tcW w:w="45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Ionis Pharmaceuticals, Inc. (IONS)</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$346.6</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$4,778.0</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Ionis’ Ranking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37"/>
        </w:trPr>
        <w:tc>
          <w:tcPr>
            <w:tcW w:w="45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Ionis’ Percentile Rank</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69%</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bl>
    <w:p>
      <w:pPr>
        <w:spacing w:after="0" w:line="90" w:lineRule="exact"/>
        <w:rPr>
          <w:sz w:val="20"/>
          <w:szCs w:val="20"/>
          <w:color w:val="auto"/>
        </w:rPr>
      </w:pPr>
    </w:p>
    <w:p>
      <w:pPr>
        <w:ind w:right="20" w:firstLine="36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compensation consultant advised our Compensation Committee that the competitive range for each element of compensation we pay to our named executive officers is within +/- 20% of the 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percentile for the Executive Peer Group. Total cash compensation and total direct compensation in 2017 for our CFO were within the competitive range. Total cash compensation and total direct compensation in 2017 for our CEO was above the competitive range. The Compensation Committee believed paying our CEO above the range was appropriate given the strong performance for the year as further described under “Evaluation of 2017 Corporate Objectives on pages </w:t>
      </w:r>
      <w:hyperlink w:anchor="page41">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through </w:t>
      </w:r>
      <w:hyperlink w:anchor="page41">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below.</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Our Productivity vs. Executive Peer Group</w:t>
      </w:r>
    </w:p>
    <w:p>
      <w:pPr>
        <w:spacing w:after="0" w:line="119" w:lineRule="exact"/>
        <w:rPr>
          <w:sz w:val="20"/>
          <w:szCs w:val="20"/>
          <w:color w:val="auto"/>
        </w:rPr>
      </w:pPr>
    </w:p>
    <w:p>
      <w:pPr>
        <w:jc w:val="both"/>
        <w:ind w:right="560" w:firstLine="360"/>
        <w:spacing w:after="0" w:line="266" w:lineRule="auto"/>
        <w:rPr>
          <w:sz w:val="20"/>
          <w:szCs w:val="20"/>
          <w:color w:val="auto"/>
        </w:rPr>
      </w:pPr>
      <w:r>
        <w:rPr>
          <w:rFonts w:ascii="Times New Roman" w:cs="Times New Roman" w:eastAsia="Times New Roman" w:hAnsi="Times New Roman"/>
          <w:sz w:val="18"/>
          <w:szCs w:val="18"/>
          <w:color w:val="auto"/>
        </w:rPr>
        <w:t>All companies in all industries strive to be more productive than their peers. Leadership management and compensation systems are all focused on enhancing long-term productivity. However, measuring productivity is challenging, particularly in biotechnology.</w:t>
      </w:r>
    </w:p>
    <w:p>
      <w:pPr>
        <w:spacing w:after="0" w:line="68"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Even for established R&amp;D-based pharmaceutical companies for which the comparator group is obvious, comparisons of productivity are challenging. While revenues and profits per employee may be good measures for a portion of the equation, they are inadequate because they provide little insight into potential for topline sales growth and no insight into innovation, which is the foundation for long-term sustainable growth. To provide insight into these attributes, measures of the size, maturity and potential value of the drug pipeline are necessary. Additionally, measures of innovation such as numbers of issued patents can be used.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35" w:name="page36"/>
    <w:bookmarkEnd w:id="35"/>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7" w:right="680" w:firstLine="360"/>
        <w:spacing w:after="0" w:line="261" w:lineRule="auto"/>
        <w:rPr>
          <w:sz w:val="20"/>
          <w:szCs w:val="20"/>
          <w:color w:val="auto"/>
        </w:rPr>
      </w:pPr>
      <w:r>
        <w:rPr>
          <w:rFonts w:ascii="Times New Roman" w:cs="Times New Roman" w:eastAsia="Times New Roman" w:hAnsi="Times New Roman"/>
          <w:sz w:val="18"/>
          <w:szCs w:val="18"/>
          <w:color w:val="auto"/>
        </w:rPr>
        <w:t>Because biotechnology companies’ business models vary, ranging from companies repurposing a single in-licensed commercial drug, to companies developing in-licensed novel drugs, to true research-based companies and a few companies pioneering broad new technology platforms, comparisons of productivity within the biotechnology industry are even more challenging. Such comparisons are even more difficult for development stage pre-commercial companies.</w:t>
      </w:r>
    </w:p>
    <w:p>
      <w:pPr>
        <w:spacing w:after="0" w:line="72" w:lineRule="exact"/>
        <w:rPr>
          <w:sz w:val="20"/>
          <w:szCs w:val="20"/>
          <w:color w:val="auto"/>
        </w:rPr>
      </w:pPr>
    </w:p>
    <w:p>
      <w:pPr>
        <w:ind w:left="7" w:right="20" w:firstLine="360"/>
        <w:spacing w:after="0" w:line="258" w:lineRule="auto"/>
        <w:rPr>
          <w:sz w:val="20"/>
          <w:szCs w:val="20"/>
          <w:color w:val="auto"/>
        </w:rPr>
      </w:pPr>
      <w:r>
        <w:rPr>
          <w:rFonts w:ascii="Times New Roman" w:cs="Times New Roman" w:eastAsia="Times New Roman" w:hAnsi="Times New Roman"/>
          <w:sz w:val="18"/>
          <w:szCs w:val="18"/>
          <w:color w:val="auto"/>
        </w:rPr>
        <w:t>Nevertheless, it is as important to develop productivity metrics and compare productivity for biotechnology companies as it is for any other industry. As Ionis matures and achieves revenues from the commercial sale of its products, we will use revenue and profit per employee as metrics, supplemented by metrics that measure the value of our drug pipeline and innovation. We analyze our productivity against the Executive Peer Group and other leaders in drug development using, among other measures, number of drugs in clinical development per employee and number of patents per employee.</w:t>
      </w:r>
    </w:p>
    <w:p>
      <w:pPr>
        <w:spacing w:after="0" w:line="76" w:lineRule="exact"/>
        <w:rPr>
          <w:sz w:val="20"/>
          <w:szCs w:val="20"/>
          <w:color w:val="auto"/>
        </w:rPr>
      </w:pPr>
    </w:p>
    <w:p>
      <w:pPr>
        <w:ind w:left="7" w:right="40" w:firstLine="360"/>
        <w:spacing w:after="0" w:line="266" w:lineRule="auto"/>
        <w:rPr>
          <w:sz w:val="20"/>
          <w:szCs w:val="20"/>
          <w:color w:val="auto"/>
        </w:rPr>
      </w:pPr>
      <w:r>
        <w:rPr>
          <w:rFonts w:ascii="Times New Roman" w:cs="Times New Roman" w:eastAsia="Times New Roman" w:hAnsi="Times New Roman"/>
          <w:sz w:val="18"/>
          <w:szCs w:val="18"/>
          <w:color w:val="auto"/>
        </w:rPr>
        <w:t>The table below measures Ionis on these productivity metrics against the median for the Executive Peer Group, and the leading company in the peer group for each productivity metric (based on information available in the most recent Annual Reports of the companies):</w:t>
      </w:r>
    </w:p>
    <w:p>
      <w:pPr>
        <w:spacing w:after="0" w:line="12" w:lineRule="exact"/>
        <w:rPr>
          <w:sz w:val="20"/>
          <w:szCs w:val="20"/>
          <w:color w:val="auto"/>
        </w:rPr>
      </w:pPr>
    </w:p>
    <w:tbl>
      <w:tblPr>
        <w:tblLayout w:type="fixed"/>
        <w:tblInd w:w="17" w:type="dxa"/>
        <w:tblCellMar>
          <w:top w:w="0" w:type="dxa"/>
          <w:left w:w="0" w:type="dxa"/>
          <w:bottom w:w="0" w:type="dxa"/>
          <w:right w:w="0" w:type="dxa"/>
        </w:tblCellMar>
      </w:tblPr>
      <w:tr>
        <w:trPr>
          <w:trHeight w:val="178"/>
        </w:trPr>
        <w:tc>
          <w:tcPr>
            <w:tcW w:w="4060" w:type="dxa"/>
            <w:vAlign w:val="bottom"/>
            <w:tcBorders>
              <w:top w:val="single" w:sz="8" w:color="auto"/>
              <w:left w:val="single" w:sz="8" w:color="auto"/>
              <w:right w:val="single" w:sz="8" w:color="auto"/>
            </w:tcBorders>
          </w:tcPr>
          <w:p>
            <w:pPr>
              <w:spacing w:after="0"/>
              <w:rPr>
                <w:sz w:val="15"/>
                <w:szCs w:val="15"/>
                <w:color w:val="auto"/>
              </w:rPr>
            </w:pPr>
          </w:p>
        </w:tc>
        <w:tc>
          <w:tcPr>
            <w:tcW w:w="3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Drugs in Clinical Development per</w:t>
            </w:r>
          </w:p>
        </w:tc>
        <w:tc>
          <w:tcPr>
            <w:tcW w:w="2400" w:type="dxa"/>
            <w:vAlign w:val="bottom"/>
            <w:tcBorders>
              <w:top w:val="single" w:sz="8" w:color="auto"/>
              <w:right w:val="single" w:sz="8" w:color="auto"/>
            </w:tcBorders>
          </w:tcPr>
          <w:p>
            <w:pPr>
              <w:spacing w:after="0"/>
              <w:rPr>
                <w:sz w:val="15"/>
                <w:szCs w:val="15"/>
                <w:color w:val="auto"/>
              </w:rPr>
            </w:pPr>
          </w:p>
        </w:tc>
      </w:tr>
      <w:tr>
        <w:trPr>
          <w:trHeight w:val="187"/>
        </w:trPr>
        <w:tc>
          <w:tcPr>
            <w:tcW w:w="4060" w:type="dxa"/>
            <w:vAlign w:val="bottom"/>
            <w:tcBorders>
              <w:left w:val="single" w:sz="8" w:color="auto"/>
              <w:bottom w:val="single" w:sz="8" w:color="auto"/>
              <w:right w:val="single" w:sz="8" w:color="auto"/>
            </w:tcBorders>
          </w:tcPr>
          <w:p>
            <w:pPr>
              <w:spacing w:after="0"/>
              <w:rPr>
                <w:sz w:val="16"/>
                <w:szCs w:val="16"/>
                <w:color w:val="auto"/>
              </w:rPr>
            </w:pPr>
          </w:p>
        </w:tc>
        <w:tc>
          <w:tcPr>
            <w:tcW w:w="3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Patents per Employee</w:t>
            </w:r>
          </w:p>
        </w:tc>
      </w:tr>
      <w:tr>
        <w:trPr>
          <w:trHeight w:val="237"/>
        </w:trPr>
        <w:tc>
          <w:tcPr>
            <w:tcW w:w="40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Ionis’ Ranking</w:t>
            </w:r>
          </w:p>
        </w:tc>
        <w:tc>
          <w:tcPr>
            <w:tcW w:w="3100" w:type="dxa"/>
            <w:vAlign w:val="bottom"/>
            <w:tcBorders>
              <w:bottom w:val="single" w:sz="8" w:color="auto"/>
              <w:right w:val="single" w:sz="8" w:color="auto"/>
            </w:tcBorders>
            <w:shd w:val="clear" w:color="auto" w:fill="CCEEFF"/>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2</w:t>
            </w:r>
            <w:r>
              <w:rPr>
                <w:rFonts w:ascii="Times New Roman" w:cs="Times New Roman" w:eastAsia="Times New Roman" w:hAnsi="Times New Roman"/>
                <w:sz w:val="13"/>
                <w:szCs w:val="13"/>
                <w:color w:val="auto"/>
              </w:rPr>
              <w:t>nd</w:t>
            </w:r>
          </w:p>
        </w:tc>
        <w:tc>
          <w:tcPr>
            <w:tcW w:w="2400" w:type="dxa"/>
            <w:vAlign w:val="bottom"/>
            <w:tcBorders>
              <w:bottom w:val="single" w:sz="8" w:color="auto"/>
              <w:right w:val="single" w:sz="8" w:color="auto"/>
            </w:tcBorders>
            <w:shd w:val="clear" w:color="auto" w:fill="CCEEFF"/>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2</w:t>
            </w:r>
            <w:r>
              <w:rPr>
                <w:rFonts w:ascii="Times New Roman" w:cs="Times New Roman" w:eastAsia="Times New Roman" w:hAnsi="Times New Roman"/>
                <w:sz w:val="13"/>
                <w:szCs w:val="13"/>
                <w:color w:val="auto"/>
              </w:rPr>
              <w:t>nd</w:t>
            </w:r>
          </w:p>
        </w:tc>
      </w:tr>
      <w:tr>
        <w:trPr>
          <w:trHeight w:val="232"/>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Peer Group Median</w:t>
            </w:r>
          </w:p>
        </w:tc>
        <w:tc>
          <w:tcPr>
            <w:tcW w:w="3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 drug for every 139 employees</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 patent per employee</w:t>
            </w:r>
          </w:p>
        </w:tc>
      </w:tr>
      <w:tr>
        <w:trPr>
          <w:trHeight w:val="209"/>
        </w:trPr>
        <w:tc>
          <w:tcPr>
            <w:tcW w:w="406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Peer Leader for Drugs in Clinical Development per</w:t>
            </w:r>
          </w:p>
        </w:tc>
        <w:tc>
          <w:tcPr>
            <w:tcW w:w="3100" w:type="dxa"/>
            <w:vAlign w:val="bottom"/>
            <w:tcBorders>
              <w:right w:val="single" w:sz="8" w:color="auto"/>
            </w:tcBorders>
            <w:shd w:val="clear" w:color="auto" w:fill="CCEEFF"/>
          </w:tcPr>
          <w:p>
            <w:pPr>
              <w:spacing w:after="0"/>
              <w:rPr>
                <w:sz w:val="18"/>
                <w:szCs w:val="18"/>
                <w:color w:val="auto"/>
              </w:rPr>
            </w:pPr>
          </w:p>
        </w:tc>
        <w:tc>
          <w:tcPr>
            <w:tcW w:w="2400" w:type="dxa"/>
            <w:vAlign w:val="bottom"/>
            <w:tcBorders>
              <w:right w:val="single" w:sz="8" w:color="auto"/>
            </w:tcBorders>
            <w:shd w:val="clear" w:color="auto" w:fill="CCEEFF"/>
          </w:tcPr>
          <w:p>
            <w:pPr>
              <w:spacing w:after="0"/>
              <w:rPr>
                <w:sz w:val="18"/>
                <w:szCs w:val="18"/>
                <w:color w:val="auto"/>
              </w:rPr>
            </w:pPr>
          </w:p>
        </w:tc>
      </w:tr>
      <w:tr>
        <w:trPr>
          <w:trHeight w:val="241"/>
        </w:trPr>
        <w:tc>
          <w:tcPr>
            <w:tcW w:w="4060" w:type="dxa"/>
            <w:vAlign w:val="bottom"/>
            <w:tcBorders>
              <w:left w:val="single" w:sz="8" w:color="auto"/>
              <w:bottom w:val="single" w:sz="8" w:color="auto"/>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(Ligand)</w:t>
            </w:r>
          </w:p>
        </w:tc>
        <w:tc>
          <w:tcPr>
            <w:tcW w:w="3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drug for every 1 employee</w:t>
            </w:r>
          </w:p>
        </w:tc>
        <w:tc>
          <w:tcPr>
            <w:tcW w:w="2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39"/>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Peer Leader for Patents per Employee (Ligand)</w:t>
            </w:r>
          </w:p>
        </w:tc>
        <w:tc>
          <w:tcPr>
            <w:tcW w:w="3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 patents per employee</w:t>
            </w:r>
          </w:p>
        </w:tc>
      </w:tr>
      <w:tr>
        <w:trPr>
          <w:trHeight w:val="237"/>
        </w:trPr>
        <w:tc>
          <w:tcPr>
            <w:tcW w:w="40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Ionis Pharmaceuticals, Inc. (IONS)</w:t>
            </w:r>
          </w:p>
        </w:tc>
        <w:tc>
          <w:tcPr>
            <w:tcW w:w="3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drug for every 10 employees</w:t>
            </w:r>
          </w:p>
        </w:tc>
        <w:tc>
          <w:tcPr>
            <w:tcW w:w="2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patents per employee</w:t>
            </w:r>
          </w:p>
        </w:tc>
      </w:tr>
    </w:tbl>
    <w:p>
      <w:pPr>
        <w:spacing w:after="0" w:line="90" w:lineRule="exact"/>
        <w:rPr>
          <w:sz w:val="20"/>
          <w:szCs w:val="20"/>
          <w:color w:val="auto"/>
        </w:rPr>
      </w:pPr>
    </w:p>
    <w:p>
      <w:pPr>
        <w:ind w:left="7" w:right="120" w:firstLine="360"/>
        <w:spacing w:after="0" w:line="282" w:lineRule="auto"/>
        <w:rPr>
          <w:sz w:val="20"/>
          <w:szCs w:val="20"/>
          <w:color w:val="auto"/>
        </w:rPr>
      </w:pPr>
      <w:r>
        <w:rPr>
          <w:rFonts w:ascii="Times New Roman" w:cs="Times New Roman" w:eastAsia="Times New Roman" w:hAnsi="Times New Roman"/>
          <w:sz w:val="18"/>
          <w:szCs w:val="18"/>
          <w:color w:val="auto"/>
        </w:rPr>
        <w:t>As illustrated, Ionis’ innovative culture and business strategy have made Ionis incredibly productive in terms of the number of drugs in development per employee and patents per employee.</w:t>
      </w:r>
    </w:p>
    <w:p>
      <w:pPr>
        <w:spacing w:after="0" w:line="54"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The chart below further illustrates our clinical drug pipeline growth from 2015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85725</wp:posOffset>
            </wp:positionV>
            <wp:extent cx="4999990" cy="2212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999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7" w:hanging="347"/>
        <w:spacing w:after="0"/>
        <w:tabs>
          <w:tab w:leader="none" w:pos="347"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Satellite Company Drugs</w:t>
      </w:r>
    </w:p>
    <w:p>
      <w:pPr>
        <w:spacing w:after="0" w:line="109" w:lineRule="exact"/>
        <w:rPr>
          <w:sz w:val="20"/>
          <w:szCs w:val="20"/>
          <w:color w:val="auto"/>
        </w:rPr>
      </w:pPr>
    </w:p>
    <w:p>
      <w:pPr>
        <w:ind w:left="347" w:right="40" w:hanging="347"/>
        <w:spacing w:after="0" w:line="282" w:lineRule="auto"/>
        <w:tabs>
          <w:tab w:leader="none" w:pos="347"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Volanesorsen is counted twice in the 2017 breakdown — once under regulatory review for patients with familial chylomicronemia syndrome and once in Phase 3 for patients with familial partial lopodystrophy (FPL)</w:t>
      </w:r>
    </w:p>
    <w:p>
      <w:pPr>
        <w:spacing w:after="0" w:line="15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36" w:name="page37"/>
    <w:bookmarkEnd w:id="36"/>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8"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i w:val="1"/>
          <w:iCs w:val="1"/>
          <w:color w:val="auto"/>
        </w:rPr>
        <w:t>Revenue Growth; Financial Performance</w:t>
      </w:r>
    </w:p>
    <w:p>
      <w:pPr>
        <w:spacing w:after="0" w:line="119" w:lineRule="exact"/>
        <w:rPr>
          <w:sz w:val="20"/>
          <w:szCs w:val="20"/>
          <w:color w:val="auto"/>
        </w:rPr>
      </w:pPr>
    </w:p>
    <w:p>
      <w:pPr>
        <w:ind w:left="7" w:right="40" w:firstLine="360"/>
        <w:spacing w:after="0" w:line="277" w:lineRule="auto"/>
        <w:rPr>
          <w:sz w:val="20"/>
          <w:szCs w:val="20"/>
          <w:color w:val="auto"/>
        </w:rPr>
      </w:pPr>
      <w:r>
        <w:rPr>
          <w:rFonts w:ascii="Times New Roman" w:cs="Times New Roman" w:eastAsia="Times New Roman" w:hAnsi="Times New Roman"/>
          <w:sz w:val="17"/>
          <w:szCs w:val="17"/>
          <w:color w:val="auto"/>
        </w:rPr>
        <w:t>Additional evidence of our productivity and the benefit of our business strategy is reflected by our strong financial position. Ionis ended 2017 in a very strong financial position, with 2017 revenues exceeding $500 million, a more than 45% increase from 2016, and Ionis’ sixth consecutive year of revenue growth. For the second year in a row, Ionis was profitable, with pro forma operating profit in 2017 of more than $110 million, a more than 150% increase from 2016. This success is driven by the strength of our business strategy, which leverages numerous sources of revenue, with multiple opportunities for upside, while reducing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50165</wp:posOffset>
            </wp:positionV>
            <wp:extent cx="5137150" cy="2752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3715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7" w:hanging="347"/>
        <w:spacing w:after="0"/>
        <w:tabs>
          <w:tab w:leader="none" w:pos="347"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amounts, excluding non-cash compensation.</w:t>
      </w:r>
    </w:p>
    <w:p>
      <w:pPr>
        <w:spacing w:after="0" w:line="206"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i w:val="1"/>
          <w:iCs w:val="1"/>
          <w:color w:val="auto"/>
        </w:rPr>
        <w:t>Compensation Allocation/Pay Mix</w:t>
      </w:r>
    </w:p>
    <w:p>
      <w:pPr>
        <w:spacing w:after="0" w:line="119" w:lineRule="exact"/>
        <w:rPr>
          <w:sz w:val="20"/>
          <w:szCs w:val="20"/>
          <w:color w:val="auto"/>
        </w:rPr>
      </w:pPr>
    </w:p>
    <w:p>
      <w:pPr>
        <w:ind w:left="7" w:firstLine="360"/>
        <w:spacing w:after="0" w:line="261" w:lineRule="auto"/>
        <w:rPr>
          <w:sz w:val="20"/>
          <w:szCs w:val="20"/>
          <w:color w:val="auto"/>
        </w:rPr>
      </w:pPr>
      <w:r>
        <w:rPr>
          <w:rFonts w:ascii="Times New Roman" w:cs="Times New Roman" w:eastAsia="Times New Roman" w:hAnsi="Times New Roman"/>
          <w:sz w:val="18"/>
          <w:szCs w:val="18"/>
          <w:color w:val="auto"/>
        </w:rPr>
        <w:t>A key element of our compensation philosophy is to monitor and adjust our pay mix for our senior management team so the pay mix is less heavily weighted on fixed compensation (salary) and more heavily weighted on at-risk cash compensation and long-term equity incentive compensation. As part of the Compensation Committee’s review of our total pay mix for executive officers, the Compensation Committee focuses on the following:</w:t>
      </w:r>
    </w:p>
    <w:p>
      <w:pPr>
        <w:spacing w:after="0" w:line="70" w:lineRule="exact"/>
        <w:rPr>
          <w:sz w:val="20"/>
          <w:szCs w:val="20"/>
          <w:color w:val="auto"/>
        </w:rPr>
      </w:pPr>
    </w:p>
    <w:p>
      <w:pPr>
        <w:ind w:left="707" w:right="200" w:hanging="356"/>
        <w:spacing w:after="0" w:line="284" w:lineRule="auto"/>
        <w:tabs>
          <w:tab w:leader="none" w:pos="7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 significant portion of cash compensation is at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Committee structures cash compensation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 significant proportion of our CEO’s, COO’s and other NEOs’ cash compensation is at risk;</w:t>
      </w:r>
    </w:p>
    <w:p>
      <w:pPr>
        <w:spacing w:after="0" w:line="50" w:lineRule="exact"/>
        <w:rPr>
          <w:rFonts w:ascii="Times New Roman" w:cs="Times New Roman" w:eastAsia="Times New Roman" w:hAnsi="Times New Roman"/>
          <w:sz w:val="18"/>
          <w:szCs w:val="18"/>
          <w:color w:val="auto"/>
        </w:rPr>
      </w:pPr>
    </w:p>
    <w:p>
      <w:pPr>
        <w:ind w:left="707" w:right="140" w:hanging="356"/>
        <w:spacing w:after="0" w:line="284" w:lineRule="auto"/>
        <w:tabs>
          <w:tab w:leader="none" w:pos="7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More of total compensation is long-term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Committee structures the total pay mix for our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NEOs such that more of their compensation is in the form of long-term equity compensation; and</w:t>
      </w:r>
    </w:p>
    <w:p>
      <w:pPr>
        <w:spacing w:after="0" w:line="50" w:lineRule="exact"/>
        <w:rPr>
          <w:rFonts w:ascii="Times New Roman" w:cs="Times New Roman" w:eastAsia="Times New Roman" w:hAnsi="Times New Roman"/>
          <w:sz w:val="18"/>
          <w:szCs w:val="18"/>
          <w:color w:val="auto"/>
        </w:rPr>
      </w:pPr>
    </w:p>
    <w:p>
      <w:pPr>
        <w:ind w:left="707" w:right="140" w:hanging="356"/>
        <w:spacing w:after="0" w:line="261" w:lineRule="auto"/>
        <w:tabs>
          <w:tab w:leader="none" w:pos="7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Less of total compensation is salary.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Committee strives to have the total pay mix for our CEO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NEOs such that less of their compensation is in the form of salary. For example, the Compensation Committee did not increase salaries for the CEO and most of our NEOs for each of 2011, 2012 and 2013 to allow an increasing percentage of total compensation to be at risk.</w:t>
      </w:r>
    </w:p>
    <w:p>
      <w:pPr>
        <w:spacing w:after="0" w:line="74" w:lineRule="exact"/>
        <w:rPr>
          <w:sz w:val="20"/>
          <w:szCs w:val="20"/>
          <w:color w:val="auto"/>
        </w:rPr>
      </w:pPr>
    </w:p>
    <w:p>
      <w:pPr>
        <w:ind w:left="7" w:right="140" w:firstLine="360"/>
        <w:spacing w:after="0" w:line="258" w:lineRule="auto"/>
        <w:rPr>
          <w:sz w:val="20"/>
          <w:szCs w:val="20"/>
          <w:color w:val="auto"/>
        </w:rPr>
      </w:pPr>
      <w:r>
        <w:rPr>
          <w:rFonts w:ascii="Times New Roman" w:cs="Times New Roman" w:eastAsia="Times New Roman" w:hAnsi="Times New Roman"/>
          <w:sz w:val="18"/>
          <w:szCs w:val="18"/>
          <w:color w:val="auto"/>
        </w:rPr>
        <w:t>An annual review of our total pay mix helps Ionis compete for and retain talent in the competitive marketplace and maintain compensation equity and balance among positions with similar responsibilities. The target pay mix for our NEOs is a result of the compensation targets that emphasize long-term compensation versus short-term compensation. Actual salary levels, annual Performance MBO awards and long-term incentive awards vary based on one or more of the following: an individual’s responsibilities, tenure in a particular position, experience, individual performance and company performance.</w:t>
      </w:r>
    </w:p>
    <w:p>
      <w:pPr>
        <w:spacing w:after="0" w:line="184"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7"/>
          </w:cols>
          <w:pgMar w:left="1173" w:top="277" w:right="1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right="640" w:firstLine="360"/>
        <w:spacing w:after="0" w:line="282" w:lineRule="auto"/>
        <w:rPr>
          <w:sz w:val="20"/>
          <w:szCs w:val="20"/>
          <w:color w:val="auto"/>
        </w:rPr>
      </w:pPr>
      <w:r>
        <w:rPr>
          <w:rFonts w:ascii="Times New Roman" w:cs="Times New Roman" w:eastAsia="Times New Roman" w:hAnsi="Times New Roman"/>
          <w:sz w:val="18"/>
          <w:szCs w:val="18"/>
          <w:color w:val="auto"/>
        </w:rPr>
        <w:t>The following chart illustrates the portions of actual total direct compensation for the named executive officers that are composed of base salary, annual Performance MBO and long-term equity ($ shown in thousands)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45720</wp:posOffset>
            </wp:positionV>
            <wp:extent cx="5282565" cy="2933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82565"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000" w:type="dxa"/>
            <w:vAlign w:val="bottom"/>
            <w:tcBorders>
              <w:top w:val="single" w:sz="8" w:color="auto"/>
              <w:left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right w:val="single" w:sz="8" w:color="auto"/>
            </w:tcBorders>
          </w:tcPr>
          <w:p>
            <w:pPr>
              <w:spacing w:after="0"/>
              <w:rPr>
                <w:sz w:val="17"/>
                <w:szCs w:val="17"/>
                <w:color w:val="auto"/>
              </w:rPr>
            </w:pPr>
          </w:p>
        </w:tc>
        <w:tc>
          <w:tcPr>
            <w:tcW w:w="2980" w:type="dxa"/>
            <w:vAlign w:val="bottom"/>
            <w:tcBorders>
              <w:top w:val="single" w:sz="8" w:color="auto"/>
              <w:bottom w:val="single" w:sz="8" w:color="auto"/>
              <w:right w:val="single" w:sz="8" w:color="auto"/>
            </w:tcBorders>
            <w:gridSpan w:val="3"/>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 of Total Direct Compensation</w:t>
            </w:r>
          </w:p>
        </w:tc>
      </w:tr>
      <w:tr>
        <w:trPr>
          <w:trHeight w:val="158"/>
        </w:trPr>
        <w:tc>
          <w:tcPr>
            <w:tcW w:w="3000" w:type="dxa"/>
            <w:vAlign w:val="bottom"/>
            <w:tcBorders>
              <w:left w:val="single" w:sz="8" w:color="auto"/>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Long-</w:t>
            </w:r>
          </w:p>
        </w:tc>
      </w:tr>
      <w:tr>
        <w:trPr>
          <w:trHeight w:val="162"/>
        </w:trPr>
        <w:tc>
          <w:tcPr>
            <w:tcW w:w="3000" w:type="dxa"/>
            <w:vAlign w:val="bottom"/>
            <w:tcBorders>
              <w:left w:val="single" w:sz="8" w:color="auto"/>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right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24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r>
      <w:tr>
        <w:trPr>
          <w:trHeight w:val="162"/>
        </w:trPr>
        <w:tc>
          <w:tcPr>
            <w:tcW w:w="3000" w:type="dxa"/>
            <w:vAlign w:val="bottom"/>
            <w:tcBorders>
              <w:left w:val="single" w:sz="8" w:color="auto"/>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right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Base</w:t>
            </w:r>
          </w:p>
        </w:tc>
        <w:tc>
          <w:tcPr>
            <w:tcW w:w="11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040" w:type="dxa"/>
            <w:vAlign w:val="bottom"/>
            <w:tcBorders>
              <w:right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87"/>
        </w:trPr>
        <w:tc>
          <w:tcPr>
            <w:tcW w:w="3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40" w:type="dxa"/>
            <w:vAlign w:val="bottom"/>
            <w:tcBorders>
              <w:bottom w:val="single" w:sz="8" w:color="auto"/>
              <w:right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MBO</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MBO %</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05"/>
        </w:trPr>
        <w:tc>
          <w:tcPr>
            <w:tcW w:w="3000" w:type="dxa"/>
            <w:vAlign w:val="bottom"/>
            <w:tcBorders>
              <w:left w:val="single" w:sz="8" w:color="auto"/>
              <w:right w:val="single" w:sz="8" w:color="auto"/>
            </w:tcBorders>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Stanley T. Crooke</w:t>
            </w:r>
          </w:p>
        </w:tc>
        <w:tc>
          <w:tcPr>
            <w:tcW w:w="6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r>
      <w:tr>
        <w:trPr>
          <w:trHeight w:val="241"/>
        </w:trPr>
        <w:tc>
          <w:tcPr>
            <w:tcW w:w="3000" w:type="dxa"/>
            <w:vAlign w:val="bottom"/>
            <w:tcBorders>
              <w:left w:val="single" w:sz="8" w:color="auto"/>
              <w:bottom w:val="single" w:sz="8" w:color="auto"/>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CEO</w:t>
            </w:r>
          </w:p>
        </w:tc>
        <w:tc>
          <w:tcPr>
            <w:tcW w:w="66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5,420</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1"/>
        </w:trPr>
        <w:tc>
          <w:tcPr>
            <w:tcW w:w="3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Elizabeth L. Hougen</w:t>
            </w:r>
          </w:p>
        </w:tc>
        <w:tc>
          <w:tcPr>
            <w:tcW w:w="6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41"/>
        </w:trPr>
        <w:tc>
          <w:tcPr>
            <w:tcW w:w="300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CFO</w:t>
            </w:r>
          </w:p>
        </w:tc>
        <w:tc>
          <w:tcPr>
            <w:tcW w:w="6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1,504</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1"/>
        </w:trPr>
        <w:tc>
          <w:tcPr>
            <w:tcW w:w="300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 Lynne Parshall</w:t>
            </w:r>
          </w:p>
        </w:tc>
        <w:tc>
          <w:tcPr>
            <w:tcW w:w="6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r>
      <w:tr>
        <w:trPr>
          <w:trHeight w:val="241"/>
        </w:trPr>
        <w:tc>
          <w:tcPr>
            <w:tcW w:w="3000" w:type="dxa"/>
            <w:vAlign w:val="bottom"/>
            <w:tcBorders>
              <w:left w:val="single" w:sz="8" w:color="auto"/>
              <w:bottom w:val="single" w:sz="8" w:color="auto"/>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Former COO</w:t>
            </w:r>
          </w:p>
        </w:tc>
        <w:tc>
          <w:tcPr>
            <w:tcW w:w="66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3,911</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1"/>
        </w:trPr>
        <w:tc>
          <w:tcPr>
            <w:tcW w:w="3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Brett Monia</w:t>
            </w:r>
          </w:p>
        </w:tc>
        <w:tc>
          <w:tcPr>
            <w:tcW w:w="6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16"/>
        </w:trPr>
        <w:tc>
          <w:tcPr>
            <w:tcW w:w="300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COO, SVP, Drug Discovery &amp;</w:t>
            </w:r>
          </w:p>
        </w:tc>
        <w:tc>
          <w:tcPr>
            <w:tcW w:w="6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41"/>
        </w:trPr>
        <w:tc>
          <w:tcPr>
            <w:tcW w:w="300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Corporate Development</w:t>
            </w:r>
          </w:p>
        </w:tc>
        <w:tc>
          <w:tcPr>
            <w:tcW w:w="6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1,596</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1"/>
        </w:trPr>
        <w:tc>
          <w:tcPr>
            <w:tcW w:w="300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Richard Geary</w:t>
            </w:r>
          </w:p>
        </w:tc>
        <w:tc>
          <w:tcPr>
            <w:tcW w:w="6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r>
      <w:tr>
        <w:trPr>
          <w:trHeight w:val="241"/>
        </w:trPr>
        <w:tc>
          <w:tcPr>
            <w:tcW w:w="3000" w:type="dxa"/>
            <w:vAlign w:val="bottom"/>
            <w:tcBorders>
              <w:left w:val="single" w:sz="8" w:color="auto"/>
              <w:bottom w:val="single" w:sz="8" w:color="auto"/>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SVP, Development</w:t>
            </w:r>
          </w:p>
        </w:tc>
        <w:tc>
          <w:tcPr>
            <w:tcW w:w="66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1,504</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The fixed component of our compensation structure is base salary. We categorize our jobs in a system called broad-banding. That is to say there are relatively few job levels within Ionis, specifically ten levels, but the scope of responsibility and accountability an employee may assume is broad. We do not have salary ranges, and therefore we do not set salary minimums or maximums. It is therefore possible that someone may be in a lower job level, but his or her salary may reach levels that exceed those of someone in a higher job level. We have chosen not to have salary ranges because years of experience have shown that this approach often creates unnecessary bureaucracy and a loss of talented individuals. Our aim is to attract and retain the most highly qualified employees in an extremely competitive market.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right="4240" w:firstLine="267"/>
        <w:spacing w:after="0" w:line="252" w:lineRule="auto"/>
        <w:rPr>
          <w:sz w:val="20"/>
          <w:szCs w:val="20"/>
          <w:color w:val="auto"/>
        </w:rPr>
      </w:pPr>
      <w:r>
        <w:rPr>
          <w:rFonts w:ascii="Times New Roman" w:cs="Times New Roman" w:eastAsia="Times New Roman" w:hAnsi="Times New Roman"/>
          <w:sz w:val="18"/>
          <w:szCs w:val="18"/>
          <w:color w:val="auto"/>
        </w:rPr>
        <w:t>We determine base compensation levels for all our employees primarily by market forces. Accordingly, the Compensation Committee believes that it is important when making its compensation decisions to be informed as to the current practices of comparable publicly held companies with which we compete for top talent. To this end, the Compensation Committee reviews market and peer company data, which includes competitive information relating to the mix and levels of compensation for executives in the life sciences industry. We obtain this information for the Executive Peer Group based on recent public filings with the SEC. In addition, we also review data from the Radford Global Life Sciences Survey, which is a summary of compensation data submitted by over 500 life sciences companies. The Compensation Committee uses these data to inform and shape its decision-making but does not strictly adhere to quantitative benchmarks. In addition, we assess whether the scope of job responsibilities and internal equity warrant a given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-1972945</wp:posOffset>
            </wp:positionV>
            <wp:extent cx="1895475" cy="17151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95475" cy="1715135"/>
                    </a:xfrm>
                    <a:prstGeom prst="rect">
                      <a:avLst/>
                    </a:prstGeom>
                    <a:noFill/>
                  </pic:spPr>
                </pic:pic>
              </a:graphicData>
            </a:graphic>
          </wp:anchor>
        </w:drawing>
      </w:r>
    </w:p>
    <w:p>
      <w:pPr>
        <w:spacing w:after="0" w:line="82" w:lineRule="exact"/>
        <w:rPr>
          <w:sz w:val="20"/>
          <w:szCs w:val="20"/>
          <w:color w:val="auto"/>
        </w:rPr>
      </w:pPr>
    </w:p>
    <w:p>
      <w:pPr>
        <w:ind w:right="260" w:firstLine="360"/>
        <w:spacing w:after="0" w:line="266" w:lineRule="auto"/>
        <w:rPr>
          <w:sz w:val="20"/>
          <w:szCs w:val="20"/>
          <w:color w:val="auto"/>
        </w:rPr>
      </w:pPr>
      <w:r>
        <w:rPr>
          <w:rFonts w:ascii="Times New Roman" w:cs="Times New Roman" w:eastAsia="Times New Roman" w:hAnsi="Times New Roman"/>
          <w:sz w:val="18"/>
          <w:szCs w:val="18"/>
          <w:color w:val="auto"/>
        </w:rPr>
        <w:t>We guarantee base salary to all employees as wages for hours worked. It represents consideration for the performance of job responsibilities. This portion of total cash compensation is not at risk and may increase as a result of how well an individual performs his or her job responsibilities.</w:t>
      </w:r>
    </w:p>
    <w:p>
      <w:pPr>
        <w:spacing w:after="0" w:line="68"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Each year our employees are eligible to receive an appropriate merit salary increase. The Compensation Committee sets a Company-wide merit increase budget percentage based on Ionis’ performance and external factors such as the average merit budget of comparable companies. The actual merit increase award for each employee, including our executive officers, will vary depending upon the respective employee’s contributions to Ionis. For example, for 2017 performance the Company-wide merit increase budget was 3.2%, with a range of individual merit award increases of 0% to 4.7%. However, regardless of individual employee variances, we do not exceed the Company-wide approved merit budget.</w:t>
      </w:r>
    </w:p>
    <w:p>
      <w:pPr>
        <w:spacing w:after="0" w:line="80"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evaluates each executive officer’s performance to set his or her annual merit increase. As part of this process, the Compensation Committee reviews the written reports prepared by the CEO evaluating the performance of each individual executive officer. The Compensation Committee carefully considers these reports since our CEO is in the best position to evaluate our executive officers’ day-to-day and overall performance. The Compensation Committee meets in executive session and evaluates the CEO’s performance, primarily based upon the CEO’s achievement of our company’s objectives for the year. At the end of this process, the Compensation Committee determines the CEO’s merit increase and approves or recommends changes to the merit increases for the remaining executive officers. Our CEO has no role in determining his own compensation.</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executive officers’ new salaries for each year are calculated as follows:</w:t>
      </w:r>
    </w:p>
    <w:p>
      <w:pPr>
        <w:spacing w:after="0" w:line="117" w:lineRule="exact"/>
        <w:rPr>
          <w:sz w:val="20"/>
          <w:szCs w:val="20"/>
          <w:color w:val="auto"/>
        </w:rPr>
      </w:pPr>
    </w:p>
    <w:p>
      <w:pPr>
        <w:ind w:left="700" w:hanging="356"/>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Base Salary (x) Merit Increase = Increase to Base Salary</w:t>
      </w:r>
    </w:p>
    <w:p>
      <w:pPr>
        <w:spacing w:after="0" w:line="117"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Base Salary (+) Increase to Base Salary = New Base Salary</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example, Dr. Crooke’s 2018 salary of $883,242 was calculated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w w:val="98"/>
              </w:rPr>
              <w:t>2017 Base Salary</w:t>
            </w:r>
          </w:p>
        </w:tc>
        <w:tc>
          <w:tcPr>
            <w:tcW w:w="640" w:type="dxa"/>
            <w:vAlign w:val="bottom"/>
            <w:gridSpan w:val="2"/>
          </w:tcPr>
          <w:p>
            <w:pPr>
              <w:spacing w:after="0"/>
              <w:rPr>
                <w:sz w:val="18"/>
                <w:szCs w:val="18"/>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42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Merit Increase</w:t>
            </w: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to Base Salary</w:t>
            </w:r>
          </w:p>
        </w:tc>
      </w:tr>
      <w:tr>
        <w:trPr>
          <w:trHeight w:val="264"/>
        </w:trPr>
        <w:tc>
          <w:tcPr>
            <w:tcW w:w="1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$849,271</w:t>
            </w: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420" w:type="dxa"/>
            <w:vAlign w:val="bottom"/>
          </w:tcPr>
          <w:p>
            <w:pPr>
              <w:spacing w:after="0"/>
              <w:rPr>
                <w:sz w:val="22"/>
                <w:szCs w:val="22"/>
                <w:color w:val="auto"/>
              </w:rPr>
            </w:pP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4.0%</w:t>
            </w: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$33,971</w:t>
            </w:r>
          </w:p>
        </w:tc>
        <w:tc>
          <w:tcPr>
            <w:tcW w:w="140" w:type="dxa"/>
            <w:vAlign w:val="bottom"/>
          </w:tcPr>
          <w:p>
            <w:pPr>
              <w:spacing w:after="0"/>
              <w:rPr>
                <w:sz w:val="22"/>
                <w:szCs w:val="22"/>
                <w:color w:val="auto"/>
              </w:rPr>
            </w:pPr>
          </w:p>
        </w:tc>
      </w:tr>
      <w:tr>
        <w:trPr>
          <w:trHeight w:val="446"/>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Base Salary</w:t>
            </w: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Increase to Base Salary</w:t>
            </w: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New Base Salary in 2018</w:t>
            </w:r>
          </w:p>
        </w:tc>
      </w:tr>
      <w:tr>
        <w:trPr>
          <w:trHeight w:val="264"/>
        </w:trPr>
        <w:tc>
          <w:tcPr>
            <w:tcW w:w="1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$849,271</w:t>
            </w:r>
          </w:p>
        </w:tc>
        <w:tc>
          <w:tcPr>
            <w:tcW w:w="18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$33,971</w:t>
            </w:r>
          </w:p>
        </w:tc>
        <w:tc>
          <w:tcPr>
            <w:tcW w:w="640" w:type="dxa"/>
            <w:vAlign w:val="bottom"/>
            <w:tcBorders>
              <w:top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$883,242</w:t>
            </w:r>
          </w:p>
        </w:tc>
        <w:tc>
          <w:tcPr>
            <w:tcW w:w="140" w:type="dxa"/>
            <w:vAlign w:val="bottom"/>
            <w:tcBorders>
              <w:top w:val="single" w:sz="8" w:color="auto"/>
            </w:tcBorders>
          </w:tcPr>
          <w:p>
            <w:pPr>
              <w:spacing w:after="0"/>
              <w:rPr>
                <w:sz w:val="22"/>
                <w:szCs w:val="22"/>
                <w:color w:val="auto"/>
              </w:rPr>
            </w:pPr>
          </w:p>
        </w:tc>
      </w:tr>
    </w:tbl>
    <w:p>
      <w:pPr>
        <w:spacing w:after="0" w:line="103"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When reviewing salaries, the Compensation Committee noted that the salary of most of our NEOs was within the competitive range of the Executive Peer Group. The Compensation Committee also noted (i) its desired target mix of compensation that is less weighted on salary, and (ii) historically the committee did not increase base salaries for the CEO, COO and most of the other NEOs for 2011-2013 to help adjust total pay mix</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so that it was weighted less heavily on fixed cash compensation. Given Ionis’ strong 2017 performance, and given that Ionis had previously fixed executive salaries for a number of years, the Compensation Committee approved merit increases to each of the NEO’s salaries for 2017.</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MBO-Performance Based-At Risk Cash Compensation (Performance MBO)</w:t>
      </w:r>
    </w:p>
    <w:p>
      <w:pPr>
        <w:spacing w:after="0" w:line="11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The next component of an executive officer’s compensation, as well as the compensation of our employees at the director level and above, is a performance based cash payment through our Performance MBO program. Our Performance MBO program rewards employees for reaching specific objectives and for the judgment they use in making decisions, while an employee’s base salary compensates the employee for his or her continued service and performance. We do not guarantee a Performance MBO as compensation. It is totally at risk. As such, a Performance MBO represents an opportunity for reward based upon the individual’s level of accountability and depends on the relative success of both Ionis and the individual. Our approach for awarding MBO bonuses differs from salary increases because, unlike salary increases, market forces do not impact bonus amounts.</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calculate the actual amount of each executive officer’s respective Performance MBO based on the following formula:</w:t>
      </w:r>
    </w:p>
    <w:p>
      <w:pPr>
        <w:spacing w:after="0" w:line="117" w:lineRule="exact"/>
        <w:rPr>
          <w:sz w:val="20"/>
          <w:szCs w:val="20"/>
          <w:color w:val="auto"/>
        </w:rPr>
      </w:pPr>
    </w:p>
    <w:p>
      <w:pPr>
        <w:ind w:right="360" w:firstLine="360"/>
        <w:spacing w:after="0" w:line="282" w:lineRule="auto"/>
        <w:rPr>
          <w:sz w:val="20"/>
          <w:szCs w:val="20"/>
          <w:color w:val="auto"/>
        </w:rPr>
      </w:pPr>
      <w:r>
        <w:rPr>
          <w:rFonts w:ascii="Times New Roman" w:cs="Times New Roman" w:eastAsia="Times New Roman" w:hAnsi="Times New Roman"/>
          <w:sz w:val="18"/>
          <w:szCs w:val="18"/>
          <w:color w:val="auto"/>
        </w:rPr>
        <w:t>Base Salary (x) Target MBO % (x) Company Performance Factor (x) Individual Performance Factor = Performance MBO Amount</w:t>
      </w:r>
    </w:p>
    <w:p>
      <w:pPr>
        <w:spacing w:after="0" w:line="11" w:lineRule="exact"/>
        <w:rPr>
          <w:sz w:val="20"/>
          <w:szCs w:val="20"/>
          <w:color w:val="auto"/>
        </w:rPr>
      </w:pPr>
    </w:p>
    <w:p>
      <w:pPr>
        <w:ind w:right="4440" w:firstLine="270"/>
        <w:spacing w:after="0" w:line="273" w:lineRule="auto"/>
        <w:rPr>
          <w:sz w:val="20"/>
          <w:szCs w:val="20"/>
          <w:color w:val="auto"/>
        </w:rPr>
      </w:pPr>
      <w:r>
        <w:rPr>
          <w:rFonts w:ascii="Times New Roman" w:cs="Times New Roman" w:eastAsia="Times New Roman" w:hAnsi="Times New Roman"/>
          <w:sz w:val="17"/>
          <w:szCs w:val="17"/>
          <w:i w:val="1"/>
          <w:iCs w:val="1"/>
          <w:u w:val="single" w:color="auto"/>
          <w:color w:val="auto"/>
        </w:rPr>
        <w:t>Performance MBOs can be zero</w:t>
      </w:r>
      <w:r>
        <w:rPr>
          <w:rFonts w:ascii="Times New Roman" w:cs="Times New Roman" w:eastAsia="Times New Roman" w:hAnsi="Times New Roman"/>
          <w:sz w:val="17"/>
          <w:szCs w:val="17"/>
          <w:color w:val="auto"/>
        </w:rPr>
        <w:t>. The multipliers in this formula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ensure we award bonuses based on </w:t>
      </w:r>
      <w:r>
        <w:rPr>
          <w:rFonts w:ascii="Times New Roman" w:cs="Times New Roman" w:eastAsia="Times New Roman" w:hAnsi="Times New Roman"/>
          <w:sz w:val="17"/>
          <w:szCs w:val="17"/>
          <w:i w:val="1"/>
          <w:iCs w:val="1"/>
          <w:color w:val="auto"/>
        </w:rPr>
        <w:t>both</w:t>
      </w:r>
      <w:r>
        <w:rPr>
          <w:rFonts w:ascii="Times New Roman" w:cs="Times New Roman" w:eastAsia="Times New Roman" w:hAnsi="Times New Roman"/>
          <w:sz w:val="17"/>
          <w:szCs w:val="17"/>
          <w:color w:val="auto"/>
        </w:rPr>
        <w:t xml:space="preserve"> Ionis’ performance and individual performance. This means an employee may not receive a Performance MBO even if he or she performed well in a year in which the Company does not meet its corporate objectives. Similarly, if an employee performed poorly in a year in which the Company met its corporate objectives, he or she may not receive a Performance 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-837565</wp:posOffset>
            </wp:positionV>
            <wp:extent cx="1955165" cy="651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55165" cy="651510"/>
                    </a:xfrm>
                    <a:prstGeom prst="rect">
                      <a:avLst/>
                    </a:prstGeom>
                    <a:noFill/>
                  </pic:spPr>
                </pic:pic>
              </a:graphicData>
            </a:graphic>
          </wp:anchor>
        </w:drawing>
      </w:r>
    </w:p>
    <w:p>
      <w:pPr>
        <w:spacing w:after="0" w:line="60"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For example, in 1999 we did not pay Performance MBOs to executive officers due to the failures we faced at the time. In 2004 our CEO’s Performance MBO was 64% of the Performance MBO he received in 2003 because of disappointing clinical trial results; the Company Performance Factor was 50% that year. Conversely, in 2007 Ionis had a seminal year and we rewarded our executive officers consistent with Ionis’ success.</w:t>
      </w:r>
    </w:p>
    <w:p>
      <w:pPr>
        <w:spacing w:after="0" w:line="70" w:lineRule="exact"/>
        <w:rPr>
          <w:sz w:val="20"/>
          <w:szCs w:val="20"/>
          <w:color w:val="auto"/>
        </w:rPr>
      </w:pPr>
    </w:p>
    <w:p>
      <w:pPr>
        <w:ind w:right="360" w:firstLine="3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Performance MBOs have a maximum limit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MBOs are limited by a maximum Company Performance Factor,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Individual Performance Factor and Target MBO Percentage:</w:t>
      </w:r>
    </w:p>
    <w:p>
      <w:pPr>
        <w:spacing w:after="0" w:line="52" w:lineRule="exact"/>
        <w:rPr>
          <w:sz w:val="20"/>
          <w:szCs w:val="20"/>
          <w:color w:val="auto"/>
        </w:rPr>
      </w:pPr>
    </w:p>
    <w:p>
      <w:pPr>
        <w:ind w:left="700" w:right="260" w:hanging="356"/>
        <w:spacing w:after="0" w:line="266" w:lineRule="auto"/>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maximum Company Performance Factor of 200% and a maximum Individual Performance Factor of 160%. This range represents the boundary conditions for our Performance Factors and ensures we reward our employees consistent with Ionis’ success.</w:t>
      </w:r>
    </w:p>
    <w:p>
      <w:pPr>
        <w:spacing w:after="0" w:line="68" w:lineRule="exact"/>
        <w:rPr>
          <w:rFonts w:ascii="Times New Roman" w:cs="Times New Roman" w:eastAsia="Times New Roman" w:hAnsi="Times New Roman"/>
          <w:sz w:val="18"/>
          <w:szCs w:val="18"/>
          <w:color w:val="auto"/>
        </w:rPr>
      </w:pPr>
    </w:p>
    <w:p>
      <w:pPr>
        <w:ind w:left="700" w:right="100" w:hanging="356"/>
        <w:spacing w:after="0" w:line="313" w:lineRule="auto"/>
        <w:tabs>
          <w:tab w:leader="none" w:pos="7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base Target MBO Percentages on position levels within Ionis. The Target MBO percentages for 2017 were: Directors 20%; Executive Directors 25%; Vice Presidents 30% or 35%; Senior Vice Presidents 40%; COO 50%; and CEO 65%.</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7" w:right="11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An individual’s Target MBO percentage does not change unless he or she changes position level or the Compensation Committee sets a new target for that level. The table below summarizes the minimum and maximum MBO for 2017 as a percentage of salary:</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5040" w:type="dxa"/>
            <w:vAlign w:val="bottom"/>
            <w:tcBorders>
              <w:top w:val="single" w:sz="8" w:color="auto"/>
              <w:left w:val="single" w:sz="8" w:color="auto"/>
              <w:right w:val="single" w:sz="8" w:color="auto"/>
            </w:tcBorders>
          </w:tcPr>
          <w:p>
            <w:pPr>
              <w:spacing w:after="0"/>
              <w:rPr>
                <w:sz w:val="15"/>
                <w:szCs w:val="15"/>
                <w:color w:val="auto"/>
              </w:rPr>
            </w:pPr>
          </w:p>
        </w:tc>
        <w:tc>
          <w:tcPr>
            <w:tcW w:w="2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MBO Percentage</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MBO</w:t>
            </w:r>
          </w:p>
        </w:tc>
      </w:tr>
      <w:tr>
        <w:trPr>
          <w:trHeight w:val="187"/>
        </w:trPr>
        <w:tc>
          <w:tcPr>
            <w:tcW w:w="50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Salary</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Salary</w:t>
            </w:r>
          </w:p>
        </w:tc>
      </w:tr>
      <w:tr>
        <w:trPr>
          <w:trHeight w:val="232"/>
        </w:trPr>
        <w:tc>
          <w:tcPr>
            <w:tcW w:w="5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Stanley T. Crooke</w:t>
            </w:r>
          </w:p>
        </w:tc>
        <w:tc>
          <w:tcPr>
            <w:tcW w:w="2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208%</w:t>
            </w:r>
          </w:p>
        </w:tc>
      </w:tr>
      <w:tr>
        <w:trPr>
          <w:trHeight w:val="237"/>
        </w:trPr>
        <w:tc>
          <w:tcPr>
            <w:tcW w:w="50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Elizabeth L. Hougen</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128%</w:t>
            </w:r>
          </w:p>
        </w:tc>
      </w:tr>
      <w:tr>
        <w:trPr>
          <w:trHeight w:val="237"/>
        </w:trPr>
        <w:tc>
          <w:tcPr>
            <w:tcW w:w="5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 Lynne Parshall</w:t>
            </w:r>
          </w:p>
        </w:tc>
        <w:tc>
          <w:tcPr>
            <w:tcW w:w="2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w:t>
            </w:r>
          </w:p>
        </w:tc>
      </w:tr>
      <w:tr>
        <w:trPr>
          <w:trHeight w:val="237"/>
        </w:trPr>
        <w:tc>
          <w:tcPr>
            <w:tcW w:w="50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Brett Monia</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128%</w:t>
            </w:r>
          </w:p>
        </w:tc>
      </w:tr>
      <w:tr>
        <w:trPr>
          <w:trHeight w:val="237"/>
        </w:trPr>
        <w:tc>
          <w:tcPr>
            <w:tcW w:w="5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Richard Geary</w:t>
            </w:r>
          </w:p>
        </w:tc>
        <w:tc>
          <w:tcPr>
            <w:tcW w:w="2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128%</w:t>
            </w:r>
          </w:p>
        </w:tc>
      </w:tr>
    </w:tbl>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Compensation Committee sets the Company Performance Factor based on the following process:</w:t>
      </w:r>
    </w:p>
    <w:p>
      <w:pPr>
        <w:spacing w:after="0" w:line="117" w:lineRule="exact"/>
        <w:rPr>
          <w:sz w:val="20"/>
          <w:szCs w:val="20"/>
          <w:color w:val="auto"/>
        </w:rPr>
      </w:pPr>
    </w:p>
    <w:p>
      <w:pPr>
        <w:ind w:left="700" w:right="180" w:hanging="356"/>
        <w:spacing w:after="0" w:line="261" w:lineRule="auto"/>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Ionis’ achievement of the approved corporate objectives for the year. At the end of each year, the Compensation Committee meets to evaluate Ionis’ overall performance. As described below in the chart called “Evaluation of 2017 Corporate Objectives,” the Compensation Committee measures Ionis’ performance based upon the achievement of goals set at the beginning of the year with objective measures and agreed upon by our Board and upper management.</w:t>
      </w:r>
    </w:p>
    <w:p>
      <w:pPr>
        <w:spacing w:after="0" w:line="71" w:lineRule="exact"/>
        <w:rPr>
          <w:rFonts w:ascii="Times New Roman" w:cs="Times New Roman" w:eastAsia="Times New Roman" w:hAnsi="Times New Roman"/>
          <w:sz w:val="18"/>
          <w:szCs w:val="18"/>
          <w:color w:val="auto"/>
        </w:rPr>
      </w:pPr>
    </w:p>
    <w:p>
      <w:pPr>
        <w:ind w:left="700" w:right="20" w:hanging="356"/>
        <w:spacing w:after="0" w:line="266" w:lineRule="auto"/>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the Compensation Committee considers our one-, three- and five-year total stockholder returns, and based on these returns has </w:t>
      </w:r>
      <w:r>
        <w:rPr>
          <w:rFonts w:ascii="Times New Roman" w:cs="Times New Roman" w:eastAsia="Times New Roman" w:hAnsi="Times New Roman"/>
          <w:sz w:val="18"/>
          <w:szCs w:val="18"/>
          <w:i w:val="1"/>
          <w:iCs w:val="1"/>
          <w:color w:val="auto"/>
        </w:rPr>
        <w:t>negative discretion to reduce the Corporate Performance Factor and Individual Performance Factors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executive officers.</w:t>
      </w:r>
    </w:p>
    <w:p>
      <w:pPr>
        <w:spacing w:after="0" w:line="68" w:lineRule="exact"/>
        <w:rPr>
          <w:rFonts w:ascii="Times New Roman" w:cs="Times New Roman" w:eastAsia="Times New Roman" w:hAnsi="Times New Roman"/>
          <w:sz w:val="18"/>
          <w:szCs w:val="18"/>
          <w:color w:val="auto"/>
        </w:rPr>
      </w:pPr>
    </w:p>
    <w:p>
      <w:pPr>
        <w:ind w:left="700" w:right="220" w:hanging="356"/>
        <w:spacing w:after="0" w:line="282" w:lineRule="auto"/>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then reviews the Company Performance Factor history from the prior ten years to form a comparison for our current year’s successes and/or failures.</w:t>
      </w:r>
    </w:p>
    <w:p>
      <w:pPr>
        <w:spacing w:after="0" w:line="53" w:lineRule="exact"/>
        <w:rPr>
          <w:rFonts w:ascii="Times New Roman" w:cs="Times New Roman" w:eastAsia="Times New Roman" w:hAnsi="Times New Roman"/>
          <w:sz w:val="18"/>
          <w:szCs w:val="18"/>
          <w:color w:val="auto"/>
        </w:rPr>
      </w:pPr>
    </w:p>
    <w:p>
      <w:pPr>
        <w:ind w:left="700" w:right="480" w:hanging="356"/>
        <w:spacing w:after="0" w:line="282" w:lineRule="auto"/>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the Compensation Committee approves each executive officer’s Individual Performance Factor based on the individual’s performance.</w:t>
      </w:r>
    </w:p>
    <w:p>
      <w:pPr>
        <w:spacing w:after="0" w:line="54" w:lineRule="exact"/>
        <w:rPr>
          <w:sz w:val="20"/>
          <w:szCs w:val="20"/>
          <w:color w:val="auto"/>
        </w:rPr>
      </w:pPr>
    </w:p>
    <w:p>
      <w:pPr>
        <w:ind w:right="240" w:firstLine="360"/>
        <w:spacing w:after="0" w:line="282" w:lineRule="auto"/>
        <w:rPr>
          <w:sz w:val="20"/>
          <w:szCs w:val="20"/>
          <w:color w:val="auto"/>
        </w:rPr>
      </w:pPr>
      <w:r>
        <w:rPr>
          <w:rFonts w:ascii="Times New Roman" w:cs="Times New Roman" w:eastAsia="Times New Roman" w:hAnsi="Times New Roman"/>
          <w:sz w:val="18"/>
          <w:szCs w:val="18"/>
          <w:color w:val="auto"/>
        </w:rPr>
        <w:t>Once the Compensation Committee has determined the elements of the formula above, we use that formula to calculate each executive officer’s Performance MBO.</w:t>
      </w:r>
    </w:p>
    <w:p>
      <w:pPr>
        <w:spacing w:after="0" w:line="52" w:lineRule="exact"/>
        <w:rPr>
          <w:sz w:val="20"/>
          <w:szCs w:val="20"/>
          <w:color w:val="auto"/>
        </w:rPr>
      </w:pPr>
    </w:p>
    <w:p>
      <w:pPr>
        <w:ind w:right="40" w:firstLine="27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Evaluation of 2017 Corporate Objectives</w:t>
      </w:r>
      <w:r>
        <w:rPr>
          <w:rFonts w:ascii="Times New Roman" w:cs="Times New Roman" w:eastAsia="Times New Roman" w:hAnsi="Times New Roman"/>
          <w:sz w:val="18"/>
          <w:szCs w:val="18"/>
          <w:color w:val="auto"/>
        </w:rPr>
        <w:t>. On December 13, 2017, the Compensation Committee completed its evaluation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performance against the 2017 Corporate Objectives.</w:t>
      </w:r>
    </w:p>
    <w:p>
      <w:pPr>
        <w:spacing w:after="0" w:line="52" w:lineRule="exact"/>
        <w:rPr>
          <w:sz w:val="20"/>
          <w:szCs w:val="20"/>
          <w:color w:val="auto"/>
        </w:rPr>
      </w:pPr>
    </w:p>
    <w:p>
      <w:pPr>
        <w:ind w:right="980"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set the Company Performance Factor for the 2017 MBO at 135% due to our strong achievements for the year across drug discovery, development and corporate development, particularly given:</w:t>
      </w:r>
    </w:p>
    <w:p>
      <w:pPr>
        <w:spacing w:after="0" w:line="50" w:lineRule="exact"/>
        <w:rPr>
          <w:sz w:val="20"/>
          <w:szCs w:val="20"/>
          <w:color w:val="auto"/>
        </w:rPr>
      </w:pPr>
    </w:p>
    <w:p>
      <w:pPr>
        <w:ind w:left="700" w:right="420" w:hanging="356"/>
        <w:spacing w:after="0" w:line="286" w:lineRule="auto"/>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SPINRAZA is one of the most successful orphan drug launches in history, generating 2017 global sales of $884 million;</w:t>
      </w:r>
    </w:p>
    <w:p>
      <w:pPr>
        <w:spacing w:after="0" w:line="46" w:lineRule="exact"/>
        <w:rPr>
          <w:rFonts w:ascii="Times New Roman" w:cs="Times New Roman" w:eastAsia="Times New Roman" w:hAnsi="Times New Roman"/>
          <w:sz w:val="18"/>
          <w:szCs w:val="18"/>
          <w:color w:val="auto"/>
        </w:rPr>
      </w:pPr>
    </w:p>
    <w:p>
      <w:pPr>
        <w:ind w:left="700" w:right="80" w:hanging="356"/>
        <w:spacing w:after="0" w:line="286" w:lineRule="auto"/>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Marketing applications for both inotersen and volanesorsen were accepted and preparations for global launches of both drugs, planned for mid-2018, are progressing; and</w:t>
      </w:r>
    </w:p>
    <w:p>
      <w:pPr>
        <w:spacing w:after="0" w:line="46"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Ionis revenues for 2017 increased by more than 45% and was profitable for the year.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right="200" w:firstLine="360"/>
        <w:spacing w:after="0" w:line="267" w:lineRule="auto"/>
        <w:rPr>
          <w:sz w:val="20"/>
          <w:szCs w:val="20"/>
          <w:color w:val="auto"/>
        </w:rPr>
      </w:pPr>
      <w:r>
        <w:rPr>
          <w:rFonts w:ascii="Times New Roman" w:cs="Times New Roman" w:eastAsia="Times New Roman" w:hAnsi="Times New Roman"/>
          <w:sz w:val="18"/>
          <w:szCs w:val="18"/>
          <w:color w:val="auto"/>
        </w:rPr>
        <w:t>The Compensation Committee evaluates performance based on the achievement of goals (</w:t>
      </w:r>
      <w:r>
        <w:rPr>
          <w:rFonts w:ascii="Times New Roman" w:cs="Times New Roman" w:eastAsia="Times New Roman" w:hAnsi="Times New Roman"/>
          <w:sz w:val="18"/>
          <w:szCs w:val="18"/>
          <w:i w:val="1"/>
          <w:iCs w:val="1"/>
          <w:color w:val="auto"/>
        </w:rPr>
        <w:t>including objective measures</w:t>
      </w:r>
      <w:r>
        <w:rPr>
          <w:rFonts w:ascii="Times New Roman" w:cs="Times New Roman" w:eastAsia="Times New Roman" w:hAnsi="Times New Roman"/>
          <w:sz w:val="18"/>
          <w:szCs w:val="18"/>
          <w:color w:val="auto"/>
        </w:rPr>
        <w:t>) that the Board and management set at the beginning of each year. The table below provides a detailed evaluation of each objective and the related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071870" cy="6508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6508750"/>
                    </a:xfrm>
                    <a:prstGeom prst="rect">
                      <a:avLst/>
                    </a:prstGeom>
                    <a:noFill/>
                  </pic:spPr>
                </pic:pic>
              </a:graphicData>
            </a:graphic>
          </wp:anchor>
        </w:drawing>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Evaluation of 2017 Corporate Objectives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0" w:type="dxa"/>
            <w:vAlign w:val="bottom"/>
            <w:tcBorders>
              <w:top w:val="single" w:sz="8" w:color="auto"/>
              <w:bottom w:val="single" w:sz="8" w:color="auto"/>
              <w:right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424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Objective &amp; Pre-Approved Objective Measures</w:t>
            </w:r>
          </w:p>
        </w:tc>
        <w:tc>
          <w:tcPr>
            <w:tcW w:w="4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35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Evaluation</w:t>
            </w:r>
          </w:p>
        </w:tc>
      </w:tr>
      <w:tr>
        <w:trPr>
          <w:trHeight w:val="169"/>
        </w:trPr>
        <w:tc>
          <w:tcPr>
            <w:tcW w:w="400" w:type="dxa"/>
            <w:vAlign w:val="bottom"/>
            <w:tcBorders>
              <w:right w:val="single" w:sz="8" w:color="auto"/>
            </w:tcBorders>
          </w:tcPr>
          <w:p>
            <w:pPr>
              <w:jc w:val="right"/>
              <w:ind w:right="119"/>
              <w:spacing w:after="0" w:line="169" w:lineRule="exact"/>
              <w:rPr>
                <w:sz w:val="20"/>
                <w:szCs w:val="20"/>
                <w:color w:val="auto"/>
              </w:rPr>
            </w:pPr>
            <w:r>
              <w:rPr>
                <w:rFonts w:ascii="Times New Roman" w:cs="Times New Roman" w:eastAsia="Times New Roman" w:hAnsi="Times New Roman"/>
                <w:sz w:val="16"/>
                <w:szCs w:val="16"/>
                <w:color w:val="auto"/>
              </w:rPr>
              <w:t>1</w:t>
            </w:r>
          </w:p>
        </w:tc>
        <w:tc>
          <w:tcPr>
            <w:tcW w:w="4580" w:type="dxa"/>
            <w:vAlign w:val="bottom"/>
            <w:tcBorders>
              <w:right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6"/>
                <w:szCs w:val="16"/>
                <w:color w:val="auto"/>
              </w:rPr>
              <w:t>SPINRAZA – Achieve successful approval and</w:t>
            </w:r>
          </w:p>
        </w:tc>
        <w:tc>
          <w:tcPr>
            <w:tcW w:w="4580" w:type="dxa"/>
            <w:vAlign w:val="bottom"/>
            <w:gridSpan w:val="4"/>
          </w:tcPr>
          <w:p>
            <w:pPr>
              <w:ind w:left="80"/>
              <w:spacing w:after="0" w:line="169" w:lineRule="exact"/>
              <w:rPr>
                <w:sz w:val="20"/>
                <w:szCs w:val="20"/>
                <w:color w:val="auto"/>
              </w:rPr>
            </w:pPr>
            <w:r>
              <w:rPr>
                <w:rFonts w:ascii="Times New Roman" w:cs="Times New Roman" w:eastAsia="Times New Roman" w:hAnsi="Times New Roman"/>
                <w:sz w:val="16"/>
                <w:szCs w:val="16"/>
                <w:color w:val="auto"/>
              </w:rPr>
              <w:t xml:space="preserve">Ionis </w:t>
            </w:r>
            <w:r>
              <w:rPr>
                <w:rFonts w:ascii="Times New Roman" w:cs="Times New Roman" w:eastAsia="Times New Roman" w:hAnsi="Times New Roman"/>
                <w:sz w:val="16"/>
                <w:szCs w:val="16"/>
                <w:i w:val="1"/>
                <w:iCs w:val="1"/>
                <w:color w:val="auto"/>
              </w:rPr>
              <w:t>exceeded</w:t>
            </w:r>
            <w:r>
              <w:rPr>
                <w:rFonts w:ascii="Times New Roman" w:cs="Times New Roman" w:eastAsia="Times New Roman" w:hAnsi="Times New Roman"/>
                <w:sz w:val="16"/>
                <w:szCs w:val="16"/>
                <w:color w:val="auto"/>
              </w:rPr>
              <w:t xml:space="preserve"> this objective:</w:t>
            </w:r>
          </w:p>
        </w:tc>
      </w:tr>
      <w:tr>
        <w:trPr>
          <w:trHeight w:val="217"/>
        </w:trPr>
        <w:tc>
          <w:tcPr>
            <w:tcW w:w="40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commercialization:</w:t>
            </w: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Approval in EU ($50 million milestone payment) and Japan</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earned $90 million of milestone payments for the</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($40 million milestone payment)</w:t>
            </w: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approval of SPINRAZA in the EU and Japan</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Label covering at least type 1 and 2 in the EU and type 1 in</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and Biogen obtained product labels covering all types</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Japan</w:t>
            </w: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of SMA in the EU and Japan</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Successful launch, including 2017 sales &gt;$500 million</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and Biogen significantly exceeded this goal,</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generating 2017 global sales of $884 million</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Successful regulatory inspections (GMP and GXP)</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The regulatory inspections supported approval for</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SPINRAZA</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Implement successful plan with Biogen for development of</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formed a new collaboration with Biogen to discover</w:t>
            </w:r>
          </w:p>
        </w:tc>
      </w:tr>
      <w:tr>
        <w:trPr>
          <w:trHeight w:val="223"/>
        </w:trPr>
        <w:tc>
          <w:tcPr>
            <w:tcW w:w="40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 new SMA drug</w:t>
            </w:r>
          </w:p>
        </w:tc>
        <w:tc>
          <w:tcPr>
            <w:tcW w:w="46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new antisense drugs with enhanced properties to treat SMA</w:t>
            </w:r>
          </w:p>
        </w:tc>
      </w:tr>
      <w:tr>
        <w:trPr>
          <w:trHeight w:val="176"/>
        </w:trPr>
        <w:tc>
          <w:tcPr>
            <w:tcW w:w="400" w:type="dxa"/>
            <w:vAlign w:val="bottom"/>
            <w:tcBorders>
              <w:right w:val="single" w:sz="8" w:color="auto"/>
            </w:tcBorders>
          </w:tcPr>
          <w:p>
            <w:pPr>
              <w:jc w:val="right"/>
              <w:ind w:right="119"/>
              <w:spacing w:after="0" w:line="176" w:lineRule="exact"/>
              <w:rPr>
                <w:sz w:val="20"/>
                <w:szCs w:val="20"/>
                <w:color w:val="auto"/>
              </w:rPr>
            </w:pPr>
            <w:r>
              <w:rPr>
                <w:rFonts w:ascii="Times New Roman" w:cs="Times New Roman" w:eastAsia="Times New Roman" w:hAnsi="Times New Roman"/>
                <w:sz w:val="16"/>
                <w:szCs w:val="16"/>
                <w:color w:val="auto"/>
              </w:rPr>
              <w:t>2</w:t>
            </w:r>
          </w:p>
        </w:tc>
        <w:tc>
          <w:tcPr>
            <w:tcW w:w="4580" w:type="dxa"/>
            <w:vAlign w:val="bottom"/>
            <w:tcBorders>
              <w:right w:val="single" w:sz="8" w:color="auto"/>
            </w:tcBorders>
            <w:gridSpan w:val="2"/>
          </w:tcPr>
          <w:p>
            <w:pPr>
              <w:ind w:left="80"/>
              <w:spacing w:after="0" w:line="176" w:lineRule="exact"/>
              <w:rPr>
                <w:sz w:val="20"/>
                <w:szCs w:val="20"/>
                <w:color w:val="auto"/>
              </w:rPr>
            </w:pPr>
            <w:r>
              <w:rPr>
                <w:rFonts w:ascii="Times New Roman" w:cs="Times New Roman" w:eastAsia="Times New Roman" w:hAnsi="Times New Roman"/>
                <w:sz w:val="16"/>
                <w:szCs w:val="16"/>
                <w:color w:val="auto"/>
              </w:rPr>
              <w:t>Volanesorsen – Successful study results, regulatory filings and</w:t>
            </w:r>
          </w:p>
        </w:tc>
        <w:tc>
          <w:tcPr>
            <w:tcW w:w="4580" w:type="dxa"/>
            <w:vAlign w:val="bottom"/>
            <w:gridSpan w:val="4"/>
          </w:tcPr>
          <w:p>
            <w:pPr>
              <w:ind w:left="80"/>
              <w:spacing w:after="0" w:line="176" w:lineRule="exact"/>
              <w:rPr>
                <w:sz w:val="20"/>
                <w:szCs w:val="20"/>
                <w:color w:val="auto"/>
              </w:rPr>
            </w:pPr>
            <w:r>
              <w:rPr>
                <w:rFonts w:ascii="Times New Roman" w:cs="Times New Roman" w:eastAsia="Times New Roman" w:hAnsi="Times New Roman"/>
                <w:sz w:val="16"/>
                <w:szCs w:val="16"/>
                <w:color w:val="auto"/>
              </w:rPr>
              <w:t xml:space="preserve">Ionis </w:t>
            </w:r>
            <w:r>
              <w:rPr>
                <w:rFonts w:ascii="Times New Roman" w:cs="Times New Roman" w:eastAsia="Times New Roman" w:hAnsi="Times New Roman"/>
                <w:sz w:val="16"/>
                <w:szCs w:val="16"/>
                <w:i w:val="1"/>
                <w:iCs w:val="1"/>
                <w:color w:val="auto"/>
              </w:rPr>
              <w:t>met</w:t>
            </w:r>
            <w:r>
              <w:rPr>
                <w:rFonts w:ascii="Times New Roman" w:cs="Times New Roman" w:eastAsia="Times New Roman" w:hAnsi="Times New Roman"/>
                <w:sz w:val="16"/>
                <w:szCs w:val="16"/>
                <w:color w:val="auto"/>
              </w:rPr>
              <w:t xml:space="preserve"> this objective:</w:t>
            </w:r>
          </w:p>
        </w:tc>
      </w:tr>
      <w:tr>
        <w:trPr>
          <w:trHeight w:val="217"/>
        </w:trPr>
        <w:tc>
          <w:tcPr>
            <w:tcW w:w="40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commercial preparation:</w:t>
            </w: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Positive Phase 3 data for APPROACH study</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and Akcea reported positive Phase 3 data from the</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APPROACH study in patients with FCS. Study met</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primary endpoint of reducing triglyceride levels in people</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with FCS</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NDA, NDS and MAA filed and accepted/validated</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Marketing applications were accepted in the U.S., EU and</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Canada</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Positive regulatory interactions supporting potential</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Volanesorsen was granted Priority Review in Canada and</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approval in 2018</w:t>
            </w: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received Promising Innovative Medicine designation in the</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UK. The FDA set a PDUFA date of August 30, 2018 and an</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advisory committee meeting is scheduled for May 10, 2018</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Increase awareness of the great need in FCS and the need</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and Akcea have worked with regulatory authorities to</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for new treatments</w:t>
            </w: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increase awareness of FCS</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FPL study enrolled a certain number of patients</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and Akcea continue to conduct the BROADEN study,</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 Phase 3 clinical trial, with data expected in 2019.</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Although the study did not achieve the desired enrollment</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in 2017, it remains on track to report data in 2019</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Develop a plan to manage the frequency and impact of</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and Akcea submitted a platelet natural history on FCS</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platelet monitoring</w:t>
            </w: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and developed strong support among key opinion leaders</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for volanesorsen and platelet monitoring guidelines</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Strong relationships between Akcea and patient advocacy</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and Akcea continue to build strong relationships with</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groups</w:t>
            </w: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patient advocacy groups, including FDA meetings with</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FCS and FPL patient groups</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US commercial infrastructure in place per plan to support</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Akcea is on track in its pre-commercial preparations for a</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launch in 2018; EU commercial infrastructure and build</w:t>
            </w: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potential launch in mid-2018, if volanesorsen is approved.</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plan in place to support launch in 2018</w:t>
            </w: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Preparations for global launch for FCS, planned for mid-</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2018, are progressing</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Plan prepared and being implemented to support pricing</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and Akcea implemented processes to support pricing</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objectives in US, Canada and EU</w:t>
            </w: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objectives</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Initiate expanded access program with appropriate</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and Akcea initiated an expanded access program in</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safety/platelet monitoring</w:t>
            </w:r>
          </w:p>
        </w:tc>
        <w:tc>
          <w:tcPr>
            <w:tcW w:w="46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2017</w:t>
            </w:r>
          </w:p>
        </w:tc>
        <w:tc>
          <w:tcPr>
            <w:tcW w:w="3540" w:type="dxa"/>
            <w:vAlign w:val="bottom"/>
          </w:tcPr>
          <w:p>
            <w:pPr>
              <w:spacing w:after="0"/>
              <w:rPr>
                <w:sz w:val="18"/>
                <w:szCs w:val="18"/>
                <w:color w:val="auto"/>
              </w:rPr>
            </w:pP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Successful regulatory inspections (GMP and GXP)</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and Akcea prepared for regulatory inspections, which</w:t>
            </w:r>
          </w:p>
        </w:tc>
      </w:tr>
      <w:tr>
        <w:trPr>
          <w:trHeight w:val="223"/>
        </w:trPr>
        <w:tc>
          <w:tcPr>
            <w:tcW w:w="40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were successfully completed in early 2018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6071870" cy="6491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649160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Evaluation of 2017 Corporate Objectives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0" w:type="dxa"/>
            <w:vAlign w:val="bottom"/>
            <w:tcBorders>
              <w:top w:val="single" w:sz="8" w:color="auto"/>
              <w:bottom w:val="single" w:sz="8" w:color="auto"/>
              <w:right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424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Objective &amp; Pre-Approved Objective Measures</w:t>
            </w:r>
          </w:p>
        </w:tc>
        <w:tc>
          <w:tcPr>
            <w:tcW w:w="4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35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Evaluation</w:t>
            </w:r>
          </w:p>
        </w:tc>
      </w:tr>
      <w:tr>
        <w:trPr>
          <w:trHeight w:val="169"/>
        </w:trPr>
        <w:tc>
          <w:tcPr>
            <w:tcW w:w="400" w:type="dxa"/>
            <w:vAlign w:val="bottom"/>
            <w:tcBorders>
              <w:right w:val="single" w:sz="8" w:color="auto"/>
            </w:tcBorders>
          </w:tcPr>
          <w:p>
            <w:pPr>
              <w:jc w:val="right"/>
              <w:ind w:right="119"/>
              <w:spacing w:after="0" w:line="169" w:lineRule="exact"/>
              <w:rPr>
                <w:sz w:val="20"/>
                <w:szCs w:val="20"/>
                <w:color w:val="auto"/>
              </w:rPr>
            </w:pPr>
            <w:r>
              <w:rPr>
                <w:rFonts w:ascii="Times New Roman" w:cs="Times New Roman" w:eastAsia="Times New Roman" w:hAnsi="Times New Roman"/>
                <w:sz w:val="16"/>
                <w:szCs w:val="16"/>
                <w:color w:val="auto"/>
              </w:rPr>
              <w:t>3</w:t>
            </w:r>
          </w:p>
        </w:tc>
        <w:tc>
          <w:tcPr>
            <w:tcW w:w="4580" w:type="dxa"/>
            <w:vAlign w:val="bottom"/>
            <w:tcBorders>
              <w:right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6"/>
                <w:szCs w:val="16"/>
                <w:color w:val="auto"/>
              </w:rPr>
              <w:t>Inotersen:</w:t>
            </w:r>
          </w:p>
        </w:tc>
        <w:tc>
          <w:tcPr>
            <w:tcW w:w="4580" w:type="dxa"/>
            <w:vAlign w:val="bottom"/>
            <w:gridSpan w:val="4"/>
          </w:tcPr>
          <w:p>
            <w:pPr>
              <w:ind w:left="80"/>
              <w:spacing w:after="0" w:line="169" w:lineRule="exact"/>
              <w:rPr>
                <w:sz w:val="20"/>
                <w:szCs w:val="20"/>
                <w:color w:val="auto"/>
              </w:rPr>
            </w:pPr>
            <w:r>
              <w:rPr>
                <w:rFonts w:ascii="Times New Roman" w:cs="Times New Roman" w:eastAsia="Times New Roman" w:hAnsi="Times New Roman"/>
                <w:sz w:val="16"/>
                <w:szCs w:val="16"/>
                <w:color w:val="auto"/>
              </w:rPr>
              <w:t xml:space="preserve">Ionis </w:t>
            </w:r>
            <w:r>
              <w:rPr>
                <w:rFonts w:ascii="Times New Roman" w:cs="Times New Roman" w:eastAsia="Times New Roman" w:hAnsi="Times New Roman"/>
                <w:sz w:val="16"/>
                <w:szCs w:val="16"/>
                <w:i w:val="1"/>
                <w:iCs w:val="1"/>
                <w:color w:val="auto"/>
              </w:rPr>
              <w:t>exceeded</w:t>
            </w:r>
            <w:r>
              <w:rPr>
                <w:rFonts w:ascii="Times New Roman" w:cs="Times New Roman" w:eastAsia="Times New Roman" w:hAnsi="Times New Roman"/>
                <w:sz w:val="16"/>
                <w:szCs w:val="16"/>
                <w:color w:val="auto"/>
              </w:rPr>
              <w:t xml:space="preserve"> this objective:</w:t>
            </w:r>
          </w:p>
        </w:tc>
      </w:tr>
      <w:tr>
        <w:trPr>
          <w:trHeight w:val="20"/>
        </w:trPr>
        <w:tc>
          <w:tcPr>
            <w:tcW w:w="40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4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36"/>
        </w:trPr>
        <w:tc>
          <w:tcPr>
            <w:tcW w:w="400" w:type="dxa"/>
            <w:vAlign w:val="bottom"/>
            <w:tcBorders>
              <w:right w:val="single" w:sz="8" w:color="auto"/>
            </w:tcBorders>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Positive Phase 3 data</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Phase 3 NEURO-TTR study met both primary endpoints</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demonstrating benefit compared to placebo in multiple</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measures of quality of life and disease severity</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GSK licenses the drug or Ionis executes an alternative</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licensed to Akcea worldwide rights to inotersen and</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commercialization plan if GSK declines.</w:t>
            </w: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IONIS-TTR-L</w:t>
            </w:r>
            <w:r>
              <w:rPr>
                <w:rFonts w:ascii="Times New Roman" w:cs="Times New Roman" w:eastAsia="Times New Roman" w:hAnsi="Times New Roman"/>
                <w:sz w:val="13"/>
                <w:szCs w:val="13"/>
                <w:color w:val="auto"/>
              </w:rPr>
              <w:t>Rx</w:t>
            </w:r>
            <w:r>
              <w:rPr>
                <w:rFonts w:ascii="Times New Roman" w:cs="Times New Roman" w:eastAsia="Times New Roman" w:hAnsi="Times New Roman"/>
                <w:sz w:val="16"/>
                <w:szCs w:val="16"/>
                <w:color w:val="auto"/>
              </w:rPr>
              <w:t xml:space="preserve"> in early 2018. Such collaboration</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advances commercial readiness for planned mid-2018</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inotersen launch</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NDA and MAA filed</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Marketing applications accepted, no FDA Advisory</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Committee recommended, Priority Review in the US and</w:t>
            </w:r>
          </w:p>
        </w:tc>
      </w:tr>
      <w:tr>
        <w:trPr>
          <w:trHeight w:val="223"/>
        </w:trPr>
        <w:tc>
          <w:tcPr>
            <w:tcW w:w="40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Accelerated Assessment in the EU</w:t>
            </w:r>
          </w:p>
        </w:tc>
      </w:tr>
      <w:tr>
        <w:trPr>
          <w:trHeight w:val="176"/>
        </w:trPr>
        <w:tc>
          <w:tcPr>
            <w:tcW w:w="400" w:type="dxa"/>
            <w:vAlign w:val="bottom"/>
            <w:tcBorders>
              <w:right w:val="single" w:sz="8" w:color="auto"/>
            </w:tcBorders>
          </w:tcPr>
          <w:p>
            <w:pPr>
              <w:jc w:val="right"/>
              <w:ind w:right="119"/>
              <w:spacing w:after="0" w:line="155" w:lineRule="exact"/>
              <w:rPr>
                <w:sz w:val="20"/>
                <w:szCs w:val="20"/>
                <w:color w:val="auto"/>
              </w:rPr>
            </w:pPr>
            <w:r>
              <w:rPr>
                <w:rFonts w:ascii="Times New Roman" w:cs="Times New Roman" w:eastAsia="Times New Roman" w:hAnsi="Times New Roman"/>
                <w:sz w:val="16"/>
                <w:szCs w:val="16"/>
                <w:color w:val="auto"/>
              </w:rPr>
              <w:t>4</w:t>
            </w:r>
          </w:p>
        </w:tc>
        <w:tc>
          <w:tcPr>
            <w:tcW w:w="4580" w:type="dxa"/>
            <w:vAlign w:val="bottom"/>
            <w:tcBorders>
              <w:right w:val="single" w:sz="8" w:color="auto"/>
            </w:tcBorders>
            <w:gridSpan w:val="2"/>
          </w:tcPr>
          <w:p>
            <w:pPr>
              <w:ind w:left="80"/>
              <w:spacing w:after="0" w:line="155" w:lineRule="exact"/>
              <w:rPr>
                <w:sz w:val="20"/>
                <w:szCs w:val="20"/>
                <w:color w:val="auto"/>
              </w:rPr>
            </w:pPr>
            <w:r>
              <w:rPr>
                <w:rFonts w:ascii="Times New Roman" w:cs="Times New Roman" w:eastAsia="Times New Roman" w:hAnsi="Times New Roman"/>
                <w:sz w:val="16"/>
                <w:szCs w:val="16"/>
                <w:color w:val="auto"/>
              </w:rPr>
              <w:t>IONIS-FXI</w:t>
            </w:r>
            <w:r>
              <w:rPr>
                <w:rFonts w:ascii="Times New Roman" w:cs="Times New Roman" w:eastAsia="Times New Roman" w:hAnsi="Times New Roman"/>
                <w:sz w:val="13"/>
                <w:szCs w:val="13"/>
                <w:color w:val="auto"/>
              </w:rPr>
              <w:t>Rx</w:t>
            </w:r>
            <w:r>
              <w:rPr>
                <w:rFonts w:ascii="Times New Roman" w:cs="Times New Roman" w:eastAsia="Times New Roman" w:hAnsi="Times New Roman"/>
                <w:sz w:val="16"/>
                <w:szCs w:val="16"/>
                <w:color w:val="auto"/>
              </w:rPr>
              <w:t xml:space="preserve"> – Bayer advances program:</w:t>
            </w:r>
          </w:p>
        </w:tc>
        <w:tc>
          <w:tcPr>
            <w:tcW w:w="4580" w:type="dxa"/>
            <w:vAlign w:val="bottom"/>
            <w:gridSpan w:val="4"/>
          </w:tcPr>
          <w:p>
            <w:pPr>
              <w:ind w:left="80"/>
              <w:spacing w:after="0" w:line="155" w:lineRule="exact"/>
              <w:rPr>
                <w:sz w:val="20"/>
                <w:szCs w:val="20"/>
                <w:color w:val="auto"/>
              </w:rPr>
            </w:pPr>
            <w:r>
              <w:rPr>
                <w:rFonts w:ascii="Times New Roman" w:cs="Times New Roman" w:eastAsia="Times New Roman" w:hAnsi="Times New Roman"/>
                <w:sz w:val="16"/>
                <w:szCs w:val="16"/>
                <w:color w:val="auto"/>
              </w:rPr>
              <w:t xml:space="preserve">Ionis </w:t>
            </w:r>
            <w:r>
              <w:rPr>
                <w:rFonts w:ascii="Times New Roman" w:cs="Times New Roman" w:eastAsia="Times New Roman" w:hAnsi="Times New Roman"/>
                <w:sz w:val="16"/>
                <w:szCs w:val="16"/>
                <w:i w:val="1"/>
                <w:iCs w:val="1"/>
                <w:color w:val="auto"/>
              </w:rPr>
              <w:t>exceeded</w:t>
            </w:r>
            <w:r>
              <w:rPr>
                <w:rFonts w:ascii="Times New Roman" w:cs="Times New Roman" w:eastAsia="Times New Roman" w:hAnsi="Times New Roman"/>
                <w:sz w:val="16"/>
                <w:szCs w:val="16"/>
                <w:color w:val="auto"/>
              </w:rPr>
              <w:t xml:space="preserve"> this objective:</w:t>
            </w:r>
          </w:p>
        </w:tc>
      </w:tr>
      <w:tr>
        <w:trPr>
          <w:trHeight w:val="20"/>
        </w:trPr>
        <w:tc>
          <w:tcPr>
            <w:tcW w:w="40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4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44"/>
        </w:trPr>
        <w:tc>
          <w:tcPr>
            <w:tcW w:w="400" w:type="dxa"/>
            <w:vAlign w:val="bottom"/>
            <w:tcBorders>
              <w:right w:val="single" w:sz="8" w:color="auto"/>
            </w:tcBorders>
          </w:tcPr>
          <w:p>
            <w:pPr>
              <w:spacing w:after="0"/>
              <w:rPr>
                <w:sz w:val="21"/>
                <w:szCs w:val="2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End-stage renal disease study with parent drug initiated</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initiated such study</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Milestone of at least a pre-specified amount received</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amended its agreement with Bayer to advance IONIS-</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FXI</w:t>
            </w:r>
            <w:r>
              <w:rPr>
                <w:rFonts w:ascii="Times New Roman" w:cs="Times New Roman" w:eastAsia="Times New Roman" w:hAnsi="Times New Roman"/>
                <w:sz w:val="13"/>
                <w:szCs w:val="13"/>
                <w:color w:val="auto"/>
              </w:rPr>
              <w:t>Rx</w:t>
            </w:r>
            <w:r>
              <w:rPr>
                <w:rFonts w:ascii="Times New Roman" w:cs="Times New Roman" w:eastAsia="Times New Roman" w:hAnsi="Times New Roman"/>
                <w:sz w:val="16"/>
                <w:szCs w:val="16"/>
                <w:color w:val="auto"/>
              </w:rPr>
              <w:t xml:space="preserve"> and to initiate development of IONIS-FXI-L</w:t>
            </w:r>
            <w:r>
              <w:rPr>
                <w:rFonts w:ascii="Times New Roman" w:cs="Times New Roman" w:eastAsia="Times New Roman" w:hAnsi="Times New Roman"/>
                <w:sz w:val="13"/>
                <w:szCs w:val="13"/>
                <w:color w:val="auto"/>
              </w:rPr>
              <w:t>Rx</w:t>
            </w:r>
            <w:r>
              <w:rPr>
                <w:rFonts w:ascii="Times New Roman" w:cs="Times New Roman" w:eastAsia="Times New Roman" w:hAnsi="Times New Roman"/>
                <w:sz w:val="16"/>
                <w:szCs w:val="16"/>
                <w:color w:val="auto"/>
              </w:rPr>
              <w:t>,</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which Bayer licensed. In conjunction with the decision to</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advance these programs, Ionis received a $75 million</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payment from Bayer</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LICA development candidate identified and IND-</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identified a LICA development candidate and initiated</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supporting toxicology studies initiated to support mid 2018</w:t>
            </w: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IND-supporting toxicology studies</w:t>
            </w:r>
          </w:p>
        </w:tc>
      </w:tr>
      <w:tr>
        <w:trPr>
          <w:trHeight w:val="223"/>
        </w:trPr>
        <w:tc>
          <w:tcPr>
            <w:tcW w:w="40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Phase 1 study</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r>
      <w:tr>
        <w:trPr>
          <w:trHeight w:val="176"/>
        </w:trPr>
        <w:tc>
          <w:tcPr>
            <w:tcW w:w="400" w:type="dxa"/>
            <w:vAlign w:val="bottom"/>
            <w:tcBorders>
              <w:right w:val="single" w:sz="8" w:color="auto"/>
            </w:tcBorders>
          </w:tcPr>
          <w:p>
            <w:pPr>
              <w:jc w:val="right"/>
              <w:ind w:right="119"/>
              <w:spacing w:after="0" w:line="176" w:lineRule="exact"/>
              <w:rPr>
                <w:sz w:val="20"/>
                <w:szCs w:val="20"/>
                <w:color w:val="auto"/>
              </w:rPr>
            </w:pPr>
            <w:r>
              <w:rPr>
                <w:rFonts w:ascii="Times New Roman" w:cs="Times New Roman" w:eastAsia="Times New Roman" w:hAnsi="Times New Roman"/>
                <w:sz w:val="16"/>
                <w:szCs w:val="16"/>
                <w:color w:val="auto"/>
              </w:rPr>
              <w:t>5</w:t>
            </w:r>
          </w:p>
        </w:tc>
        <w:tc>
          <w:tcPr>
            <w:tcW w:w="4580" w:type="dxa"/>
            <w:vAlign w:val="bottom"/>
            <w:tcBorders>
              <w:right w:val="single" w:sz="8" w:color="auto"/>
            </w:tcBorders>
            <w:gridSpan w:val="2"/>
          </w:tcPr>
          <w:p>
            <w:pPr>
              <w:ind w:left="80"/>
              <w:spacing w:after="0" w:line="176" w:lineRule="exact"/>
              <w:rPr>
                <w:sz w:val="20"/>
                <w:szCs w:val="20"/>
                <w:color w:val="auto"/>
              </w:rPr>
            </w:pPr>
            <w:r>
              <w:rPr>
                <w:rFonts w:ascii="Times New Roman" w:cs="Times New Roman" w:eastAsia="Times New Roman" w:hAnsi="Times New Roman"/>
                <w:sz w:val="16"/>
                <w:szCs w:val="16"/>
                <w:color w:val="auto"/>
              </w:rPr>
              <w:t>Novartis – Collaboration and clinical programs successfully</w:t>
            </w:r>
          </w:p>
        </w:tc>
        <w:tc>
          <w:tcPr>
            <w:tcW w:w="4580" w:type="dxa"/>
            <w:vAlign w:val="bottom"/>
            <w:gridSpan w:val="4"/>
          </w:tcPr>
          <w:p>
            <w:pPr>
              <w:ind w:left="80"/>
              <w:spacing w:after="0" w:line="176" w:lineRule="exact"/>
              <w:rPr>
                <w:sz w:val="20"/>
                <w:szCs w:val="20"/>
                <w:color w:val="auto"/>
              </w:rPr>
            </w:pPr>
            <w:r>
              <w:rPr>
                <w:rFonts w:ascii="Times New Roman" w:cs="Times New Roman" w:eastAsia="Times New Roman" w:hAnsi="Times New Roman"/>
                <w:sz w:val="16"/>
                <w:szCs w:val="16"/>
                <w:color w:val="auto"/>
              </w:rPr>
              <w:t xml:space="preserve">Ionis </w:t>
            </w:r>
            <w:r>
              <w:rPr>
                <w:rFonts w:ascii="Times New Roman" w:cs="Times New Roman" w:eastAsia="Times New Roman" w:hAnsi="Times New Roman"/>
                <w:sz w:val="16"/>
                <w:szCs w:val="16"/>
                <w:i w:val="1"/>
                <w:iCs w:val="1"/>
                <w:color w:val="auto"/>
              </w:rPr>
              <w:t>met</w:t>
            </w:r>
            <w:r>
              <w:rPr>
                <w:rFonts w:ascii="Times New Roman" w:cs="Times New Roman" w:eastAsia="Times New Roman" w:hAnsi="Times New Roman"/>
                <w:sz w:val="16"/>
                <w:szCs w:val="16"/>
                <w:color w:val="auto"/>
              </w:rPr>
              <w:t xml:space="preserve"> this objective:</w:t>
            </w:r>
          </w:p>
        </w:tc>
      </w:tr>
      <w:tr>
        <w:trPr>
          <w:trHeight w:val="217"/>
        </w:trPr>
        <w:tc>
          <w:tcPr>
            <w:tcW w:w="40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underway:</w:t>
            </w: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Successful collaboration initiation</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and Akcea successfully initiated a collaboration to</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develop and commercialize AKCEA-APO(a)-L</w:t>
            </w:r>
            <w:r>
              <w:rPr>
                <w:rFonts w:ascii="Times New Roman" w:cs="Times New Roman" w:eastAsia="Times New Roman" w:hAnsi="Times New Roman"/>
                <w:sz w:val="13"/>
                <w:szCs w:val="13"/>
                <w:color w:val="auto"/>
              </w:rPr>
              <w:t>Rx</w:t>
            </w:r>
            <w:r>
              <w:rPr>
                <w:rFonts w:ascii="Times New Roman" w:cs="Times New Roman" w:eastAsia="Times New Roman" w:hAnsi="Times New Roman"/>
                <w:sz w:val="16"/>
                <w:szCs w:val="16"/>
                <w:color w:val="auto"/>
              </w:rPr>
              <w:t xml:space="preserve"> and</w:t>
            </w:r>
          </w:p>
        </w:tc>
      </w:tr>
      <w:tr>
        <w:trPr>
          <w:trHeight w:val="216"/>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AKCEA-APOCIII-L</w:t>
            </w:r>
            <w:r>
              <w:rPr>
                <w:rFonts w:ascii="Times New Roman" w:cs="Times New Roman" w:eastAsia="Times New Roman" w:hAnsi="Times New Roman"/>
                <w:sz w:val="13"/>
                <w:szCs w:val="13"/>
                <w:color w:val="auto"/>
              </w:rPr>
              <w:t>Rx</w:t>
            </w:r>
          </w:p>
        </w:tc>
      </w:tr>
      <w:tr>
        <w:trPr>
          <w:trHeight w:val="216"/>
        </w:trPr>
        <w:tc>
          <w:tcPr>
            <w:tcW w:w="400" w:type="dxa"/>
            <w:vAlign w:val="bottom"/>
            <w:tcBorders>
              <w:right w:val="single" w:sz="8" w:color="auto"/>
            </w:tcBorders>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Complete enrollment in AKCEA-APO(a)-L</w:t>
            </w:r>
            <w:r>
              <w:rPr>
                <w:rFonts w:ascii="Times New Roman" w:cs="Times New Roman" w:eastAsia="Times New Roman" w:hAnsi="Times New Roman"/>
                <w:sz w:val="13"/>
                <w:szCs w:val="13"/>
                <w:color w:val="auto"/>
              </w:rPr>
              <w:t>Rx</w:t>
            </w:r>
            <w:r>
              <w:rPr>
                <w:rFonts w:ascii="Times New Roman" w:cs="Times New Roman" w:eastAsia="Times New Roman" w:hAnsi="Times New Roman"/>
                <w:sz w:val="16"/>
                <w:szCs w:val="16"/>
                <w:color w:val="auto"/>
              </w:rPr>
              <w:t xml:space="preserve"> dose ranging</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and Akcea completed enrollment of Phase 2b dose-</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study to support study completion in the second quarter of</w:t>
            </w: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ranging study and expect to report data from this study in</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2018</w:t>
            </w: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the second half of 2018</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AKCEA-APOCIII-L</w:t>
            </w:r>
            <w:r>
              <w:rPr>
                <w:rFonts w:ascii="Times New Roman" w:cs="Times New Roman" w:eastAsia="Times New Roman" w:hAnsi="Times New Roman"/>
                <w:sz w:val="13"/>
                <w:szCs w:val="13"/>
                <w:color w:val="auto"/>
              </w:rPr>
              <w:t>Rx</w:t>
            </w:r>
            <w:r>
              <w:rPr>
                <w:rFonts w:ascii="Times New Roman" w:cs="Times New Roman" w:eastAsia="Times New Roman" w:hAnsi="Times New Roman"/>
                <w:sz w:val="16"/>
                <w:szCs w:val="16"/>
                <w:color w:val="auto"/>
              </w:rPr>
              <w:t xml:space="preserve"> Phase 1 completed and Phase 2</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and Akcea conducted a Phase 1/2 study and reported</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dose ranging study final protocol complete in the fourth</w:t>
            </w: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results in the fourth quarter of 2017. Ionis and Akcea</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quarter of 2017 to support first patient dosed in first quarter</w:t>
            </w: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initiated a Phase 2b dose-ranging study in the first quarter</w:t>
            </w:r>
          </w:p>
        </w:tc>
      </w:tr>
      <w:tr>
        <w:trPr>
          <w:trHeight w:val="223"/>
        </w:trPr>
        <w:tc>
          <w:tcPr>
            <w:tcW w:w="40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of 2018</w:t>
            </w:r>
          </w:p>
        </w:tc>
        <w:tc>
          <w:tcPr>
            <w:tcW w:w="46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of 2018 and plan to report data from this study in 2019</w:t>
            </w:r>
          </w:p>
        </w:tc>
      </w:tr>
      <w:tr>
        <w:trPr>
          <w:trHeight w:val="176"/>
        </w:trPr>
        <w:tc>
          <w:tcPr>
            <w:tcW w:w="400" w:type="dxa"/>
            <w:vAlign w:val="bottom"/>
            <w:tcBorders>
              <w:right w:val="single" w:sz="8" w:color="auto"/>
            </w:tcBorders>
          </w:tcPr>
          <w:p>
            <w:pPr>
              <w:jc w:val="right"/>
              <w:ind w:right="119"/>
              <w:spacing w:after="0" w:line="176" w:lineRule="exact"/>
              <w:rPr>
                <w:sz w:val="20"/>
                <w:szCs w:val="20"/>
                <w:color w:val="auto"/>
              </w:rPr>
            </w:pPr>
            <w:r>
              <w:rPr>
                <w:rFonts w:ascii="Times New Roman" w:cs="Times New Roman" w:eastAsia="Times New Roman" w:hAnsi="Times New Roman"/>
                <w:sz w:val="16"/>
                <w:szCs w:val="16"/>
                <w:color w:val="auto"/>
              </w:rPr>
              <w:t>6</w:t>
            </w:r>
          </w:p>
        </w:tc>
        <w:tc>
          <w:tcPr>
            <w:tcW w:w="4580" w:type="dxa"/>
            <w:vAlign w:val="bottom"/>
            <w:tcBorders>
              <w:right w:val="single" w:sz="8" w:color="auto"/>
            </w:tcBorders>
            <w:gridSpan w:val="2"/>
          </w:tcPr>
          <w:p>
            <w:pPr>
              <w:ind w:left="80"/>
              <w:spacing w:after="0" w:line="176" w:lineRule="exact"/>
              <w:rPr>
                <w:sz w:val="20"/>
                <w:szCs w:val="20"/>
                <w:color w:val="auto"/>
              </w:rPr>
            </w:pPr>
            <w:r>
              <w:rPr>
                <w:rFonts w:ascii="Times New Roman" w:cs="Times New Roman" w:eastAsia="Times New Roman" w:hAnsi="Times New Roman"/>
                <w:sz w:val="16"/>
                <w:szCs w:val="16"/>
                <w:color w:val="auto"/>
              </w:rPr>
              <w:t>Platelets:</w:t>
            </w:r>
          </w:p>
        </w:tc>
        <w:tc>
          <w:tcPr>
            <w:tcW w:w="4580" w:type="dxa"/>
            <w:vAlign w:val="bottom"/>
            <w:gridSpan w:val="4"/>
          </w:tcPr>
          <w:p>
            <w:pPr>
              <w:ind w:left="80"/>
              <w:spacing w:after="0" w:line="176" w:lineRule="exact"/>
              <w:rPr>
                <w:sz w:val="20"/>
                <w:szCs w:val="20"/>
                <w:color w:val="auto"/>
              </w:rPr>
            </w:pPr>
            <w:r>
              <w:rPr>
                <w:rFonts w:ascii="Times New Roman" w:cs="Times New Roman" w:eastAsia="Times New Roman" w:hAnsi="Times New Roman"/>
                <w:sz w:val="16"/>
                <w:szCs w:val="16"/>
                <w:color w:val="auto"/>
              </w:rPr>
              <w:t xml:space="preserve">Ionis </w:t>
            </w:r>
            <w:r>
              <w:rPr>
                <w:rFonts w:ascii="Times New Roman" w:cs="Times New Roman" w:eastAsia="Times New Roman" w:hAnsi="Times New Roman"/>
                <w:sz w:val="16"/>
                <w:szCs w:val="16"/>
                <w:i w:val="1"/>
                <w:iCs w:val="1"/>
                <w:color w:val="auto"/>
              </w:rPr>
              <w:t>met</w:t>
            </w:r>
            <w:r>
              <w:rPr>
                <w:rFonts w:ascii="Times New Roman" w:cs="Times New Roman" w:eastAsia="Times New Roman" w:hAnsi="Times New Roman"/>
                <w:sz w:val="16"/>
                <w:szCs w:val="16"/>
                <w:color w:val="auto"/>
              </w:rPr>
              <w:t xml:space="preserve"> this objective:</w:t>
            </w:r>
          </w:p>
        </w:tc>
      </w:tr>
      <w:tr>
        <w:trPr>
          <w:trHeight w:val="20"/>
        </w:trPr>
        <w:tc>
          <w:tcPr>
            <w:tcW w:w="40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4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r>
      <w:tr>
        <w:trPr>
          <w:trHeight w:val="236"/>
        </w:trPr>
        <w:tc>
          <w:tcPr>
            <w:tcW w:w="400" w:type="dxa"/>
            <w:vAlign w:val="bottom"/>
            <w:tcBorders>
              <w:right w:val="single" w:sz="8" w:color="auto"/>
            </w:tcBorders>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Improve understanding and management of platelet events</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has worked with regulators to improve understanding</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seen in volanesorsen and inotersen programs</w:t>
            </w: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of lack of class effects for platelets, and ability to manage</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and monitor platelet events seen in volanesorsen and</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inotersen</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240" w:type="dxa"/>
            <w:vAlign w:val="bottom"/>
            <w:tcBorders>
              <w:right w:val="single" w:sz="8" w:color="auto"/>
            </w:tcBorders>
          </w:tcPr>
          <w:p>
            <w:pPr>
              <w:spacing w:after="0"/>
              <w:rPr>
                <w:sz w:val="19"/>
                <w:szCs w:val="19"/>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Platelet monitoring process accepted by investigators and</w:t>
            </w:r>
          </w:p>
        </w:tc>
      </w:tr>
      <w:tr>
        <w:trPr>
          <w:trHeight w:val="210"/>
        </w:trPr>
        <w:tc>
          <w:tcPr>
            <w:tcW w:w="4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patients</w:t>
            </w:r>
          </w:p>
        </w:tc>
      </w:tr>
      <w:tr>
        <w:trPr>
          <w:trHeight w:val="222"/>
        </w:trPr>
        <w:tc>
          <w:tcPr>
            <w:tcW w:w="40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240" w:type="dxa"/>
            <w:vAlign w:val="bottom"/>
            <w:tcBorders>
              <w:right w:val="single" w:sz="8" w:color="auto"/>
            </w:tcBorders>
          </w:tcPr>
          <w:p>
            <w:pPr>
              <w:spacing w:after="0"/>
              <w:rPr>
                <w:sz w:val="19"/>
                <w:szCs w:val="19"/>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published an article analyzing clinical trial data from</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the Ionis integrated safety database regarding platelet</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function in study subjects as well as an article regarding</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platelet observations in nonhuman primates. In addition,</w:t>
            </w:r>
          </w:p>
        </w:tc>
      </w:tr>
      <w:tr>
        <w:trPr>
          <w:trHeight w:val="203"/>
        </w:trPr>
        <w:tc>
          <w:tcPr>
            <w:tcW w:w="4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submitted an FCS natural history article and a paper</w:t>
            </w:r>
          </w:p>
        </w:tc>
      </w:tr>
      <w:tr>
        <w:trPr>
          <w:trHeight w:val="223"/>
        </w:trPr>
        <w:tc>
          <w:tcPr>
            <w:tcW w:w="40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on its Phase 1 renal study</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6071870" cy="6972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6972300"/>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Evaluation of 2017 Corporate Objectives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0" w:type="dxa"/>
            <w:vAlign w:val="bottom"/>
            <w:tcBorders>
              <w:top w:val="single" w:sz="8" w:color="auto"/>
              <w:bottom w:val="single" w:sz="8" w:color="auto"/>
              <w:right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4220" w:type="dxa"/>
            <w:vAlign w:val="bottom"/>
            <w:tcBorders>
              <w:top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Objective &amp; Pre-Approved Objective Measures</w:t>
            </w:r>
          </w:p>
        </w:tc>
        <w:tc>
          <w:tcPr>
            <w:tcW w:w="4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35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Evaluation</w:t>
            </w:r>
          </w:p>
        </w:tc>
        <w:tc>
          <w:tcPr>
            <w:tcW w:w="0" w:type="dxa"/>
            <w:vAlign w:val="bottom"/>
          </w:tcPr>
          <w:p>
            <w:pPr>
              <w:spacing w:after="0"/>
              <w:rPr>
                <w:sz w:val="1"/>
                <w:szCs w:val="1"/>
                <w:color w:val="auto"/>
              </w:rPr>
            </w:pPr>
          </w:p>
        </w:tc>
      </w:tr>
      <w:tr>
        <w:trPr>
          <w:trHeight w:val="169"/>
        </w:trPr>
        <w:tc>
          <w:tcPr>
            <w:tcW w:w="4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6"/>
                <w:szCs w:val="16"/>
                <w:color w:val="auto"/>
              </w:rPr>
              <w:t>7</w:t>
            </w:r>
          </w:p>
        </w:tc>
        <w:tc>
          <w:tcPr>
            <w:tcW w:w="4560" w:type="dxa"/>
            <w:vAlign w:val="bottom"/>
            <w:tcBorders>
              <w:right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6"/>
                <w:szCs w:val="16"/>
                <w:color w:val="auto"/>
              </w:rPr>
              <w:t>Advance Pipeline:</w:t>
            </w:r>
          </w:p>
        </w:tc>
        <w:tc>
          <w:tcPr>
            <w:tcW w:w="4580" w:type="dxa"/>
            <w:vAlign w:val="bottom"/>
            <w:gridSpan w:val="4"/>
          </w:tcPr>
          <w:p>
            <w:pPr>
              <w:ind w:left="80"/>
              <w:spacing w:after="0" w:line="169" w:lineRule="exact"/>
              <w:rPr>
                <w:sz w:val="20"/>
                <w:szCs w:val="20"/>
                <w:color w:val="auto"/>
              </w:rPr>
            </w:pPr>
            <w:r>
              <w:rPr>
                <w:rFonts w:ascii="Times New Roman" w:cs="Times New Roman" w:eastAsia="Times New Roman" w:hAnsi="Times New Roman"/>
                <w:sz w:val="16"/>
                <w:szCs w:val="16"/>
                <w:color w:val="auto"/>
              </w:rPr>
              <w:t xml:space="preserve">Ionis </w:t>
            </w:r>
            <w:r>
              <w:rPr>
                <w:rFonts w:ascii="Times New Roman" w:cs="Times New Roman" w:eastAsia="Times New Roman" w:hAnsi="Times New Roman"/>
                <w:sz w:val="16"/>
                <w:szCs w:val="16"/>
                <w:i w:val="1"/>
                <w:iCs w:val="1"/>
                <w:color w:val="auto"/>
              </w:rPr>
              <w:t>exceeded</w:t>
            </w:r>
            <w:r>
              <w:rPr>
                <w:rFonts w:ascii="Times New Roman" w:cs="Times New Roman" w:eastAsia="Times New Roman" w:hAnsi="Times New Roman"/>
                <w:sz w:val="16"/>
                <w:szCs w:val="16"/>
                <w:color w:val="auto"/>
              </w:rPr>
              <w:t xml:space="preserve"> this objective:</w:t>
            </w:r>
          </w:p>
        </w:tc>
        <w:tc>
          <w:tcPr>
            <w:tcW w:w="0" w:type="dxa"/>
            <w:vAlign w:val="bottom"/>
          </w:tcPr>
          <w:p>
            <w:pPr>
              <w:spacing w:after="0"/>
              <w:rPr>
                <w:sz w:val="1"/>
                <w:szCs w:val="1"/>
                <w:color w:val="auto"/>
              </w:rPr>
            </w:pPr>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 w:type="dxa"/>
            <w:vAlign w:val="bottom"/>
            <w:tcBorders>
              <w:right w:val="single" w:sz="8" w:color="auto"/>
            </w:tcBorders>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Positive IONIS-HTT</w:t>
            </w:r>
            <w:r>
              <w:rPr>
                <w:rFonts w:ascii="Times New Roman" w:cs="Times New Roman" w:eastAsia="Times New Roman" w:hAnsi="Times New Roman"/>
                <w:sz w:val="13"/>
                <w:szCs w:val="13"/>
                <w:color w:val="auto"/>
              </w:rPr>
              <w:t>Rx</w:t>
            </w:r>
            <w:r>
              <w:rPr>
                <w:rFonts w:ascii="Times New Roman" w:cs="Times New Roman" w:eastAsia="Times New Roman" w:hAnsi="Times New Roman"/>
                <w:sz w:val="16"/>
                <w:szCs w:val="16"/>
                <w:color w:val="auto"/>
              </w:rPr>
              <w:t xml:space="preserve"> data and Roche license of drug on</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Successful completion of the Phase 1/2 study in which</w:t>
            </w:r>
          </w:p>
        </w:tc>
        <w:tc>
          <w:tcPr>
            <w:tcW w:w="0" w:type="dxa"/>
            <w:vAlign w:val="bottom"/>
          </w:tcPr>
          <w:p>
            <w:pPr>
              <w:spacing w:after="0"/>
              <w:rPr>
                <w:sz w:val="1"/>
                <w:szCs w:val="1"/>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existing terms</w:t>
            </w: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IONIS-HTT</w:t>
            </w:r>
            <w:r>
              <w:rPr>
                <w:rFonts w:ascii="Times New Roman" w:cs="Times New Roman" w:eastAsia="Times New Roman" w:hAnsi="Times New Roman"/>
                <w:sz w:val="13"/>
                <w:szCs w:val="13"/>
                <w:color w:val="auto"/>
              </w:rPr>
              <w:t>Rx</w:t>
            </w:r>
            <w:r>
              <w:rPr>
                <w:rFonts w:ascii="Times New Roman" w:cs="Times New Roman" w:eastAsia="Times New Roman" w:hAnsi="Times New Roman"/>
                <w:sz w:val="16"/>
                <w:szCs w:val="16"/>
                <w:color w:val="auto"/>
              </w:rPr>
              <w:t xml:space="preserve"> demonstrated dose-dependent reductions of</w:t>
            </w:r>
          </w:p>
        </w:tc>
        <w:tc>
          <w:tcPr>
            <w:tcW w:w="0" w:type="dxa"/>
            <w:vAlign w:val="bottom"/>
          </w:tcPr>
          <w:p>
            <w:pPr>
              <w:spacing w:after="0"/>
              <w:rPr>
                <w:sz w:val="1"/>
                <w:szCs w:val="1"/>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the mHTT protein. Roche licensed IONIS-HTT</w:t>
            </w:r>
            <w:r>
              <w:rPr>
                <w:rFonts w:ascii="Times New Roman" w:cs="Times New Roman" w:eastAsia="Times New Roman" w:hAnsi="Times New Roman"/>
                <w:sz w:val="13"/>
                <w:szCs w:val="13"/>
                <w:color w:val="auto"/>
              </w:rPr>
              <w:t>Rx</w:t>
            </w:r>
            <w:r>
              <w:rPr>
                <w:rFonts w:ascii="Times New Roman" w:cs="Times New Roman" w:eastAsia="Times New Roman" w:hAnsi="Times New Roman"/>
                <w:sz w:val="16"/>
                <w:szCs w:val="16"/>
                <w:color w:val="auto"/>
              </w:rPr>
              <w:t xml:space="preserve"> for $45</w:t>
            </w:r>
          </w:p>
        </w:tc>
        <w:tc>
          <w:tcPr>
            <w:tcW w:w="0" w:type="dxa"/>
            <w:vAlign w:val="bottom"/>
          </w:tcPr>
          <w:p>
            <w:pPr>
              <w:spacing w:after="0"/>
              <w:rPr>
                <w:sz w:val="1"/>
                <w:szCs w:val="1"/>
                <w:color w:val="auto"/>
              </w:rPr>
            </w:pPr>
          </w:p>
        </w:tc>
      </w:tr>
      <w:tr>
        <w:trPr>
          <w:trHeight w:val="210"/>
        </w:trPr>
        <w:tc>
          <w:tcPr>
            <w:tcW w:w="4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million</w:t>
            </w: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Initiate first Phase 2 clinical trials on ≥ 4 drugs</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 xml:space="preserve">Ionis initiated Phase 2 clinical trials for </w:t>
            </w:r>
            <w:r>
              <w:rPr>
                <w:rFonts w:ascii="Times New Roman" w:cs="Times New Roman" w:eastAsia="Times New Roman" w:hAnsi="Times New Roman"/>
                <w:sz w:val="16"/>
                <w:szCs w:val="16"/>
                <w:i w:val="1"/>
                <w:iCs w:val="1"/>
                <w:color w:val="auto"/>
              </w:rPr>
              <w:t>eight</w:t>
            </w:r>
            <w:r>
              <w:rPr>
                <w:rFonts w:ascii="Times New Roman" w:cs="Times New Roman" w:eastAsia="Times New Roman" w:hAnsi="Times New Roman"/>
                <w:sz w:val="16"/>
                <w:szCs w:val="16"/>
                <w:color w:val="auto"/>
              </w:rPr>
              <w:t xml:space="preserve"> drugs</w:t>
            </w: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Positive Phase 2 clinical data on ≥ 4 drugs</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 xml:space="preserve">Ionis reported positive Phase 2 data for </w:t>
            </w:r>
            <w:r>
              <w:rPr>
                <w:rFonts w:ascii="Times New Roman" w:cs="Times New Roman" w:eastAsia="Times New Roman" w:hAnsi="Times New Roman"/>
                <w:sz w:val="16"/>
                <w:szCs w:val="16"/>
                <w:i w:val="1"/>
                <w:iCs w:val="1"/>
                <w:color w:val="auto"/>
              </w:rPr>
              <w:t>five</w:t>
            </w:r>
            <w:r>
              <w:rPr>
                <w:rFonts w:ascii="Times New Roman" w:cs="Times New Roman" w:eastAsia="Times New Roman" w:hAnsi="Times New Roman"/>
                <w:sz w:val="16"/>
                <w:szCs w:val="16"/>
                <w:color w:val="auto"/>
              </w:rPr>
              <w:t xml:space="preserve"> studies</w:t>
            </w: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Initiate Phase 1 clinical trials on ≥ 4 drugs</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 xml:space="preserve">Ionis initiated Phase 1 clinical trials on </w:t>
            </w:r>
            <w:r>
              <w:rPr>
                <w:rFonts w:ascii="Times New Roman" w:cs="Times New Roman" w:eastAsia="Times New Roman" w:hAnsi="Times New Roman"/>
                <w:sz w:val="16"/>
                <w:szCs w:val="16"/>
                <w:i w:val="1"/>
                <w:iCs w:val="1"/>
                <w:color w:val="auto"/>
              </w:rPr>
              <w:t>five</w:t>
            </w:r>
            <w:r>
              <w:rPr>
                <w:rFonts w:ascii="Times New Roman" w:cs="Times New Roman" w:eastAsia="Times New Roman" w:hAnsi="Times New Roman"/>
                <w:sz w:val="16"/>
                <w:szCs w:val="16"/>
                <w:color w:val="auto"/>
              </w:rPr>
              <w:t xml:space="preserve"> drugs</w:t>
            </w:r>
          </w:p>
        </w:tc>
        <w:tc>
          <w:tcPr>
            <w:tcW w:w="0" w:type="dxa"/>
            <w:vAlign w:val="bottom"/>
          </w:tcPr>
          <w:p>
            <w:pPr>
              <w:spacing w:after="0"/>
              <w:rPr>
                <w:sz w:val="1"/>
                <w:szCs w:val="1"/>
                <w:color w:val="auto"/>
              </w:rPr>
            </w:pPr>
          </w:p>
        </w:tc>
      </w:tr>
      <w:tr>
        <w:trPr>
          <w:trHeight w:val="243"/>
        </w:trPr>
        <w:tc>
          <w:tcPr>
            <w:tcW w:w="42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Add ≥ 4 new drugs into the pipeline</w:t>
            </w: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 xml:space="preserve">Ionis added </w:t>
            </w:r>
            <w:r>
              <w:rPr>
                <w:rFonts w:ascii="Times New Roman" w:cs="Times New Roman" w:eastAsia="Times New Roman" w:hAnsi="Times New Roman"/>
                <w:sz w:val="16"/>
                <w:szCs w:val="16"/>
                <w:i w:val="1"/>
                <w:iCs w:val="1"/>
                <w:color w:val="auto"/>
              </w:rPr>
              <w:t>seven</w:t>
            </w:r>
            <w:r>
              <w:rPr>
                <w:rFonts w:ascii="Times New Roman" w:cs="Times New Roman" w:eastAsia="Times New Roman" w:hAnsi="Times New Roman"/>
                <w:sz w:val="16"/>
                <w:szCs w:val="16"/>
                <w:color w:val="auto"/>
              </w:rPr>
              <w:t xml:space="preserve"> new drugs to its development pipeline</w:t>
            </w:r>
          </w:p>
        </w:tc>
        <w:tc>
          <w:tcPr>
            <w:tcW w:w="0" w:type="dxa"/>
            <w:vAlign w:val="bottom"/>
          </w:tcPr>
          <w:p>
            <w:pPr>
              <w:spacing w:after="0"/>
              <w:rPr>
                <w:sz w:val="1"/>
                <w:szCs w:val="1"/>
                <w:color w:val="auto"/>
              </w:rPr>
            </w:pPr>
          </w:p>
        </w:tc>
      </w:tr>
      <w:tr>
        <w:trPr>
          <w:trHeight w:val="176"/>
        </w:trPr>
        <w:tc>
          <w:tcPr>
            <w:tcW w:w="420" w:type="dxa"/>
            <w:vAlign w:val="bottom"/>
            <w:tcBorders>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6"/>
                <w:szCs w:val="16"/>
                <w:color w:val="auto"/>
              </w:rPr>
              <w:t>8</w:t>
            </w:r>
          </w:p>
        </w:tc>
        <w:tc>
          <w:tcPr>
            <w:tcW w:w="4560" w:type="dxa"/>
            <w:vAlign w:val="bottom"/>
            <w:tcBorders>
              <w:right w:val="single" w:sz="8" w:color="auto"/>
            </w:tcBorders>
            <w:gridSpan w:val="2"/>
          </w:tcPr>
          <w:p>
            <w:pPr>
              <w:ind w:left="80"/>
              <w:spacing w:after="0" w:line="176" w:lineRule="exact"/>
              <w:rPr>
                <w:sz w:val="20"/>
                <w:szCs w:val="20"/>
                <w:color w:val="auto"/>
              </w:rPr>
            </w:pPr>
            <w:r>
              <w:rPr>
                <w:rFonts w:ascii="Times New Roman" w:cs="Times New Roman" w:eastAsia="Times New Roman" w:hAnsi="Times New Roman"/>
                <w:sz w:val="16"/>
                <w:szCs w:val="16"/>
                <w:color w:val="auto"/>
              </w:rPr>
              <w:t>Successful Akcea IPO (at prespecified valuation target) assuming</w:t>
            </w:r>
          </w:p>
        </w:tc>
        <w:tc>
          <w:tcPr>
            <w:tcW w:w="4580" w:type="dxa"/>
            <w:vAlign w:val="bottom"/>
            <w:gridSpan w:val="4"/>
          </w:tcPr>
          <w:p>
            <w:pPr>
              <w:ind w:left="80"/>
              <w:spacing w:after="0" w:line="176" w:lineRule="exact"/>
              <w:rPr>
                <w:sz w:val="20"/>
                <w:szCs w:val="20"/>
                <w:color w:val="auto"/>
              </w:rPr>
            </w:pPr>
            <w:r>
              <w:rPr>
                <w:rFonts w:ascii="Times New Roman" w:cs="Times New Roman" w:eastAsia="Times New Roman" w:hAnsi="Times New Roman"/>
                <w:sz w:val="16"/>
                <w:szCs w:val="16"/>
                <w:color w:val="auto"/>
              </w:rPr>
              <w:t xml:space="preserve">Ionis </w:t>
            </w:r>
            <w:r>
              <w:rPr>
                <w:rFonts w:ascii="Times New Roman" w:cs="Times New Roman" w:eastAsia="Times New Roman" w:hAnsi="Times New Roman"/>
                <w:sz w:val="16"/>
                <w:szCs w:val="16"/>
                <w:i w:val="1"/>
                <w:iCs w:val="1"/>
                <w:color w:val="auto"/>
              </w:rPr>
              <w:t>met</w:t>
            </w:r>
            <w:r>
              <w:rPr>
                <w:rFonts w:ascii="Times New Roman" w:cs="Times New Roman" w:eastAsia="Times New Roman" w:hAnsi="Times New Roman"/>
                <w:sz w:val="16"/>
                <w:szCs w:val="16"/>
                <w:color w:val="auto"/>
              </w:rPr>
              <w:t xml:space="preserve"> this objective:</w:t>
            </w:r>
          </w:p>
        </w:tc>
        <w:tc>
          <w:tcPr>
            <w:tcW w:w="0" w:type="dxa"/>
            <w:vAlign w:val="bottom"/>
          </w:tcPr>
          <w:p>
            <w:pPr>
              <w:spacing w:after="0"/>
              <w:rPr>
                <w:sz w:val="1"/>
                <w:szCs w:val="1"/>
                <w:color w:val="auto"/>
              </w:rPr>
            </w:pPr>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456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reasonable market conditions</w:t>
            </w: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 w:type="dxa"/>
            <w:vAlign w:val="bottom"/>
            <w:tcBorders>
              <w:right w:val="single" w:sz="8" w:color="auto"/>
            </w:tcBorders>
          </w:tcPr>
          <w:p>
            <w:pPr>
              <w:spacing w:after="0"/>
              <w:rPr>
                <w:sz w:val="20"/>
                <w:szCs w:val="20"/>
                <w:color w:val="auto"/>
              </w:rPr>
            </w:pPr>
          </w:p>
        </w:tc>
        <w:tc>
          <w:tcPr>
            <w:tcW w:w="4560" w:type="dxa"/>
            <w:vAlign w:val="bottom"/>
            <w:tcBorders>
              <w:right w:val="single" w:sz="8" w:color="auto"/>
            </w:tcBorders>
            <w:gridSpan w:val="2"/>
            <w:vMerge w:val="continue"/>
          </w:tcPr>
          <w:p>
            <w:pPr>
              <w:spacing w:after="0"/>
              <w:rPr>
                <w:sz w:val="20"/>
                <w:szCs w:val="2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Akcea completed its IPO and a concurrent private</w:t>
            </w:r>
          </w:p>
        </w:tc>
        <w:tc>
          <w:tcPr>
            <w:tcW w:w="0" w:type="dxa"/>
            <w:vAlign w:val="bottom"/>
          </w:tcPr>
          <w:p>
            <w:pPr>
              <w:spacing w:after="0"/>
              <w:rPr>
                <w:sz w:val="1"/>
                <w:szCs w:val="1"/>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placement with Novartis, raising over $180 million in net</w:t>
            </w:r>
          </w:p>
        </w:tc>
        <w:tc>
          <w:tcPr>
            <w:tcW w:w="0" w:type="dxa"/>
            <w:vAlign w:val="bottom"/>
          </w:tcPr>
          <w:p>
            <w:pPr>
              <w:spacing w:after="0"/>
              <w:rPr>
                <w:sz w:val="1"/>
                <w:szCs w:val="1"/>
                <w:color w:val="auto"/>
              </w:rPr>
            </w:pPr>
          </w:p>
        </w:tc>
      </w:tr>
      <w:tr>
        <w:trPr>
          <w:trHeight w:val="210"/>
        </w:trPr>
        <w:tc>
          <w:tcPr>
            <w:tcW w:w="4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proceeds</w:t>
            </w:r>
          </w:p>
        </w:tc>
        <w:tc>
          <w:tcPr>
            <w:tcW w:w="0" w:type="dxa"/>
            <w:vAlign w:val="bottom"/>
          </w:tcPr>
          <w:p>
            <w:pPr>
              <w:spacing w:after="0"/>
              <w:rPr>
                <w:sz w:val="1"/>
                <w:szCs w:val="1"/>
                <w:color w:val="auto"/>
              </w:rPr>
            </w:pPr>
          </w:p>
        </w:tc>
      </w:tr>
      <w:tr>
        <w:trPr>
          <w:trHeight w:val="222"/>
        </w:trPr>
        <w:tc>
          <w:tcPr>
            <w:tcW w:w="42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Borders>
              <w:right w:val="single" w:sz="8" w:color="auto"/>
            </w:tcBorders>
          </w:tcPr>
          <w:p>
            <w:pPr>
              <w:spacing w:after="0"/>
              <w:rPr>
                <w:sz w:val="19"/>
                <w:szCs w:val="19"/>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IPO valuation was lower than planned, but the price of</w:t>
            </w:r>
          </w:p>
        </w:tc>
        <w:tc>
          <w:tcPr>
            <w:tcW w:w="0" w:type="dxa"/>
            <w:vAlign w:val="bottom"/>
          </w:tcPr>
          <w:p>
            <w:pPr>
              <w:spacing w:after="0"/>
              <w:rPr>
                <w:sz w:val="1"/>
                <w:szCs w:val="1"/>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Akcea’s stock and market capitalization increased</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significantly in the post-IPO market</w:t>
            </w:r>
          </w:p>
        </w:tc>
        <w:tc>
          <w:tcPr>
            <w:tcW w:w="0" w:type="dxa"/>
            <w:vAlign w:val="bottom"/>
          </w:tcPr>
          <w:p>
            <w:pPr>
              <w:spacing w:after="0"/>
              <w:rPr>
                <w:sz w:val="1"/>
                <w:szCs w:val="1"/>
                <w:color w:val="auto"/>
              </w:rPr>
            </w:pPr>
          </w:p>
        </w:tc>
      </w:tr>
      <w:tr>
        <w:trPr>
          <w:trHeight w:val="176"/>
        </w:trPr>
        <w:tc>
          <w:tcPr>
            <w:tcW w:w="420" w:type="dxa"/>
            <w:vAlign w:val="bottom"/>
            <w:tcBorders>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6"/>
                <w:szCs w:val="16"/>
                <w:color w:val="auto"/>
              </w:rPr>
              <w:t>9</w:t>
            </w:r>
          </w:p>
        </w:tc>
        <w:tc>
          <w:tcPr>
            <w:tcW w:w="4560" w:type="dxa"/>
            <w:vAlign w:val="bottom"/>
            <w:tcBorders>
              <w:right w:val="single" w:sz="8" w:color="auto"/>
            </w:tcBorders>
            <w:gridSpan w:val="2"/>
          </w:tcPr>
          <w:p>
            <w:pPr>
              <w:ind w:left="80"/>
              <w:spacing w:after="0" w:line="176" w:lineRule="exact"/>
              <w:rPr>
                <w:sz w:val="20"/>
                <w:szCs w:val="20"/>
                <w:color w:val="auto"/>
              </w:rPr>
            </w:pPr>
            <w:r>
              <w:rPr>
                <w:rFonts w:ascii="Times New Roman" w:cs="Times New Roman" w:eastAsia="Times New Roman" w:hAnsi="Times New Roman"/>
                <w:sz w:val="16"/>
                <w:szCs w:val="16"/>
                <w:color w:val="auto"/>
              </w:rPr>
              <w:t>Make Biogen relationship successful:</w:t>
            </w:r>
          </w:p>
        </w:tc>
        <w:tc>
          <w:tcPr>
            <w:tcW w:w="4580" w:type="dxa"/>
            <w:vAlign w:val="bottom"/>
            <w:gridSpan w:val="4"/>
          </w:tcPr>
          <w:p>
            <w:pPr>
              <w:ind w:left="80"/>
              <w:spacing w:after="0" w:line="176" w:lineRule="exact"/>
              <w:rPr>
                <w:sz w:val="20"/>
                <w:szCs w:val="20"/>
                <w:color w:val="auto"/>
              </w:rPr>
            </w:pPr>
            <w:r>
              <w:rPr>
                <w:rFonts w:ascii="Times New Roman" w:cs="Times New Roman" w:eastAsia="Times New Roman" w:hAnsi="Times New Roman"/>
                <w:sz w:val="16"/>
                <w:szCs w:val="16"/>
                <w:color w:val="auto"/>
              </w:rPr>
              <w:t xml:space="preserve">Ionis </w:t>
            </w:r>
            <w:r>
              <w:rPr>
                <w:rFonts w:ascii="Times New Roman" w:cs="Times New Roman" w:eastAsia="Times New Roman" w:hAnsi="Times New Roman"/>
                <w:sz w:val="16"/>
                <w:szCs w:val="16"/>
                <w:i w:val="1"/>
                <w:iCs w:val="1"/>
                <w:color w:val="auto"/>
              </w:rPr>
              <w:t>met</w:t>
            </w:r>
            <w:r>
              <w:rPr>
                <w:rFonts w:ascii="Times New Roman" w:cs="Times New Roman" w:eastAsia="Times New Roman" w:hAnsi="Times New Roman"/>
                <w:sz w:val="16"/>
                <w:szCs w:val="16"/>
                <w:color w:val="auto"/>
              </w:rPr>
              <w:t xml:space="preserve"> this objective:</w:t>
            </w:r>
          </w:p>
        </w:tc>
        <w:tc>
          <w:tcPr>
            <w:tcW w:w="0" w:type="dxa"/>
            <w:vAlign w:val="bottom"/>
          </w:tcPr>
          <w:p>
            <w:pPr>
              <w:spacing w:after="0"/>
              <w:rPr>
                <w:sz w:val="1"/>
                <w:szCs w:val="1"/>
                <w:color w:val="auto"/>
              </w:rPr>
            </w:pPr>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 w:type="dxa"/>
            <w:vAlign w:val="bottom"/>
            <w:tcBorders>
              <w:right w:val="single" w:sz="8" w:color="auto"/>
            </w:tcBorders>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Initiate Phase 1 study on up to 3 programs</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initiated a Phase 1/2a study for IONIS-MAPT</w:t>
            </w:r>
            <w:r>
              <w:rPr>
                <w:rFonts w:ascii="Times New Roman" w:cs="Times New Roman" w:eastAsia="Times New Roman" w:hAnsi="Times New Roman"/>
                <w:sz w:val="13"/>
                <w:szCs w:val="13"/>
                <w:color w:val="auto"/>
              </w:rPr>
              <w:t>Rx</w:t>
            </w:r>
            <w:r>
              <w:rPr>
                <w:rFonts w:ascii="Times New Roman" w:cs="Times New Roman" w:eastAsia="Times New Roman" w:hAnsi="Times New Roman"/>
                <w:sz w:val="16"/>
                <w:szCs w:val="16"/>
                <w:color w:val="auto"/>
              </w:rPr>
              <w:t xml:space="preserve"> and</w:t>
            </w:r>
          </w:p>
        </w:tc>
        <w:tc>
          <w:tcPr>
            <w:tcW w:w="0" w:type="dxa"/>
            <w:vAlign w:val="bottom"/>
          </w:tcPr>
          <w:p>
            <w:pPr>
              <w:spacing w:after="0"/>
              <w:rPr>
                <w:sz w:val="1"/>
                <w:szCs w:val="1"/>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made significant progress towards the start of other</w:t>
            </w:r>
          </w:p>
        </w:tc>
        <w:tc>
          <w:tcPr>
            <w:tcW w:w="0" w:type="dxa"/>
            <w:vAlign w:val="bottom"/>
          </w:tcPr>
          <w:p>
            <w:pPr>
              <w:spacing w:after="0"/>
              <w:rPr>
                <w:sz w:val="1"/>
                <w:szCs w:val="1"/>
                <w:color w:val="auto"/>
              </w:rPr>
            </w:pPr>
          </w:p>
        </w:tc>
      </w:tr>
      <w:tr>
        <w:trPr>
          <w:trHeight w:val="210"/>
        </w:trPr>
        <w:tc>
          <w:tcPr>
            <w:tcW w:w="4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programs</w:t>
            </w: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File at least one IND</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did not file an IND under the Biogen relationship</w:t>
            </w: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Achieve ≥ 2 new target sanctions</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 xml:space="preserve">Ionis achieved </w:t>
            </w:r>
            <w:r>
              <w:rPr>
                <w:rFonts w:ascii="Times New Roman" w:cs="Times New Roman" w:eastAsia="Times New Roman" w:hAnsi="Times New Roman"/>
                <w:sz w:val="16"/>
                <w:szCs w:val="16"/>
                <w:i w:val="1"/>
                <w:iCs w:val="1"/>
                <w:color w:val="auto"/>
              </w:rPr>
              <w:t>eight</w:t>
            </w:r>
            <w:r>
              <w:rPr>
                <w:rFonts w:ascii="Times New Roman" w:cs="Times New Roman" w:eastAsia="Times New Roman" w:hAnsi="Times New Roman"/>
                <w:sz w:val="16"/>
                <w:szCs w:val="16"/>
                <w:color w:val="auto"/>
              </w:rPr>
              <w:t xml:space="preserve"> new target sanctions</w:t>
            </w: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Identify ≥ 2 development candidates</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 xml:space="preserve">Ionis identified </w:t>
            </w:r>
            <w:r>
              <w:rPr>
                <w:rFonts w:ascii="Times New Roman" w:cs="Times New Roman" w:eastAsia="Times New Roman" w:hAnsi="Times New Roman"/>
                <w:sz w:val="16"/>
                <w:szCs w:val="16"/>
                <w:i w:val="1"/>
                <w:iCs w:val="1"/>
                <w:color w:val="auto"/>
              </w:rPr>
              <w:t>two</w:t>
            </w:r>
            <w:r>
              <w:rPr>
                <w:rFonts w:ascii="Times New Roman" w:cs="Times New Roman" w:eastAsia="Times New Roman" w:hAnsi="Times New Roman"/>
                <w:sz w:val="16"/>
                <w:szCs w:val="16"/>
                <w:color w:val="auto"/>
              </w:rPr>
              <w:t xml:space="preserve"> development candidates</w:t>
            </w:r>
          </w:p>
        </w:tc>
        <w:tc>
          <w:tcPr>
            <w:tcW w:w="0" w:type="dxa"/>
            <w:vAlign w:val="bottom"/>
          </w:tcPr>
          <w:p>
            <w:pPr>
              <w:spacing w:after="0"/>
              <w:rPr>
                <w:sz w:val="1"/>
                <w:szCs w:val="1"/>
                <w:color w:val="auto"/>
              </w:rPr>
            </w:pPr>
          </w:p>
        </w:tc>
      </w:tr>
      <w:tr>
        <w:trPr>
          <w:trHeight w:val="222"/>
        </w:trPr>
        <w:tc>
          <w:tcPr>
            <w:tcW w:w="42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Achieve revenue target across all Biogen collaborations</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exceeded such revenue target across all Biogen</w:t>
            </w:r>
          </w:p>
        </w:tc>
        <w:tc>
          <w:tcPr>
            <w:tcW w:w="0" w:type="dxa"/>
            <w:vAlign w:val="bottom"/>
          </w:tcPr>
          <w:p>
            <w:pPr>
              <w:spacing w:after="0"/>
              <w:rPr>
                <w:sz w:val="1"/>
                <w:szCs w:val="1"/>
                <w:color w:val="auto"/>
              </w:rPr>
            </w:pPr>
          </w:p>
        </w:tc>
      </w:tr>
      <w:tr>
        <w:trPr>
          <w:trHeight w:val="210"/>
        </w:trPr>
        <w:tc>
          <w:tcPr>
            <w:tcW w:w="4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(excluding SPINRAZA)</w:t>
            </w: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collaborations</w:t>
            </w:r>
          </w:p>
        </w:tc>
        <w:tc>
          <w:tcPr>
            <w:tcW w:w="0" w:type="dxa"/>
            <w:vAlign w:val="bottom"/>
          </w:tcPr>
          <w:p>
            <w:pPr>
              <w:spacing w:after="0"/>
              <w:rPr>
                <w:sz w:val="1"/>
                <w:szCs w:val="1"/>
                <w:color w:val="auto"/>
              </w:rPr>
            </w:pPr>
          </w:p>
        </w:tc>
      </w:tr>
      <w:tr>
        <w:trPr>
          <w:trHeight w:val="222"/>
        </w:trPr>
        <w:tc>
          <w:tcPr>
            <w:tcW w:w="42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Expand Biogen relationship strategically</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formed a new collaboration with Biogen to discover</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new antisense drugs with enhanced properties to treat SMA</w:t>
            </w:r>
          </w:p>
        </w:tc>
        <w:tc>
          <w:tcPr>
            <w:tcW w:w="0" w:type="dxa"/>
            <w:vAlign w:val="bottom"/>
          </w:tcPr>
          <w:p>
            <w:pPr>
              <w:spacing w:after="0"/>
              <w:rPr>
                <w:sz w:val="1"/>
                <w:szCs w:val="1"/>
                <w:color w:val="auto"/>
              </w:rPr>
            </w:pPr>
          </w:p>
        </w:tc>
      </w:tr>
      <w:tr>
        <w:trPr>
          <w:trHeight w:val="176"/>
        </w:trPr>
        <w:tc>
          <w:tcPr>
            <w:tcW w:w="420" w:type="dxa"/>
            <w:vAlign w:val="bottom"/>
            <w:tcBorders>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6"/>
                <w:szCs w:val="16"/>
                <w:color w:val="auto"/>
              </w:rPr>
              <w:t>10</w:t>
            </w:r>
          </w:p>
        </w:tc>
        <w:tc>
          <w:tcPr>
            <w:tcW w:w="4560" w:type="dxa"/>
            <w:vAlign w:val="bottom"/>
            <w:tcBorders>
              <w:right w:val="single" w:sz="8" w:color="auto"/>
            </w:tcBorders>
            <w:gridSpan w:val="2"/>
          </w:tcPr>
          <w:p>
            <w:pPr>
              <w:ind w:left="80"/>
              <w:spacing w:after="0" w:line="176" w:lineRule="exact"/>
              <w:rPr>
                <w:sz w:val="20"/>
                <w:szCs w:val="20"/>
                <w:color w:val="auto"/>
              </w:rPr>
            </w:pPr>
            <w:r>
              <w:rPr>
                <w:rFonts w:ascii="Times New Roman" w:cs="Times New Roman" w:eastAsia="Times New Roman" w:hAnsi="Times New Roman"/>
                <w:sz w:val="16"/>
                <w:szCs w:val="16"/>
                <w:color w:val="auto"/>
              </w:rPr>
              <w:t>Make AstraZeneca relationship successful:</w:t>
            </w:r>
          </w:p>
        </w:tc>
        <w:tc>
          <w:tcPr>
            <w:tcW w:w="4580" w:type="dxa"/>
            <w:vAlign w:val="bottom"/>
            <w:gridSpan w:val="4"/>
          </w:tcPr>
          <w:p>
            <w:pPr>
              <w:ind w:left="80"/>
              <w:spacing w:after="0" w:line="176" w:lineRule="exact"/>
              <w:rPr>
                <w:sz w:val="20"/>
                <w:szCs w:val="20"/>
                <w:color w:val="auto"/>
              </w:rPr>
            </w:pPr>
            <w:r>
              <w:rPr>
                <w:rFonts w:ascii="Times New Roman" w:cs="Times New Roman" w:eastAsia="Times New Roman" w:hAnsi="Times New Roman"/>
                <w:sz w:val="16"/>
                <w:szCs w:val="16"/>
                <w:color w:val="auto"/>
              </w:rPr>
              <w:t xml:space="preserve">Ionis </w:t>
            </w:r>
            <w:r>
              <w:rPr>
                <w:rFonts w:ascii="Times New Roman" w:cs="Times New Roman" w:eastAsia="Times New Roman" w:hAnsi="Times New Roman"/>
                <w:sz w:val="16"/>
                <w:szCs w:val="16"/>
                <w:i w:val="1"/>
                <w:iCs w:val="1"/>
                <w:color w:val="auto"/>
              </w:rPr>
              <w:t>met</w:t>
            </w:r>
            <w:r>
              <w:rPr>
                <w:rFonts w:ascii="Times New Roman" w:cs="Times New Roman" w:eastAsia="Times New Roman" w:hAnsi="Times New Roman"/>
                <w:sz w:val="16"/>
                <w:szCs w:val="16"/>
                <w:color w:val="auto"/>
              </w:rPr>
              <w:t xml:space="preserve"> this objective:</w:t>
            </w:r>
          </w:p>
        </w:tc>
        <w:tc>
          <w:tcPr>
            <w:tcW w:w="0" w:type="dxa"/>
            <w:vAlign w:val="bottom"/>
          </w:tcPr>
          <w:p>
            <w:pPr>
              <w:spacing w:after="0"/>
              <w:rPr>
                <w:sz w:val="1"/>
                <w:szCs w:val="1"/>
                <w:color w:val="auto"/>
              </w:rPr>
            </w:pPr>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 w:type="dxa"/>
            <w:vAlign w:val="bottom"/>
            <w:tcBorders>
              <w:right w:val="single" w:sz="8" w:color="auto"/>
            </w:tcBorders>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Positive interim analysis for IONIS-STAT3 and PDL1</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Positive data from Phase 1/2 study of IONIS-STAT3-2.5</w:t>
            </w:r>
            <w:r>
              <w:rPr>
                <w:rFonts w:ascii="Times New Roman" w:cs="Times New Roman" w:eastAsia="Times New Roman" w:hAnsi="Times New Roman"/>
                <w:sz w:val="13"/>
                <w:szCs w:val="13"/>
                <w:color w:val="auto"/>
              </w:rPr>
              <w:t>Rx</w:t>
            </w:r>
          </w:p>
        </w:tc>
        <w:tc>
          <w:tcPr>
            <w:tcW w:w="0" w:type="dxa"/>
            <w:vAlign w:val="bottom"/>
          </w:tcPr>
          <w:p>
            <w:pPr>
              <w:spacing w:after="0"/>
              <w:rPr>
                <w:sz w:val="1"/>
                <w:szCs w:val="1"/>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HNSCC Phase 1 clinical study</w:t>
            </w: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in combination with AZ’s Imfinzi reported for people with</w:t>
            </w:r>
          </w:p>
        </w:tc>
        <w:tc>
          <w:tcPr>
            <w:tcW w:w="0" w:type="dxa"/>
            <w:vAlign w:val="bottom"/>
          </w:tcPr>
          <w:p>
            <w:pPr>
              <w:spacing w:after="0"/>
              <w:rPr>
                <w:sz w:val="1"/>
                <w:szCs w:val="1"/>
                <w:color w:val="auto"/>
              </w:rPr>
            </w:pPr>
          </w:p>
        </w:tc>
      </w:tr>
      <w:tr>
        <w:trPr>
          <w:trHeight w:val="210"/>
        </w:trPr>
        <w:tc>
          <w:tcPr>
            <w:tcW w:w="4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head and neck cancer</w:t>
            </w:r>
          </w:p>
        </w:tc>
        <w:tc>
          <w:tcPr>
            <w:tcW w:w="0" w:type="dxa"/>
            <w:vAlign w:val="bottom"/>
          </w:tcPr>
          <w:p>
            <w:pPr>
              <w:spacing w:after="0"/>
              <w:rPr>
                <w:sz w:val="1"/>
                <w:szCs w:val="1"/>
                <w:color w:val="auto"/>
              </w:rPr>
            </w:pPr>
          </w:p>
        </w:tc>
      </w:tr>
      <w:tr>
        <w:trPr>
          <w:trHeight w:val="235"/>
        </w:trPr>
        <w:tc>
          <w:tcPr>
            <w:tcW w:w="420" w:type="dxa"/>
            <w:vAlign w:val="bottom"/>
            <w:tcBorders>
              <w:right w:val="single" w:sz="8" w:color="auto"/>
            </w:tcBorders>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Successfully advance IONIS-AZ4-2.5-L</w:t>
            </w:r>
            <w:r>
              <w:rPr>
                <w:rFonts w:ascii="Times New Roman" w:cs="Times New Roman" w:eastAsia="Times New Roman" w:hAnsi="Times New Roman"/>
                <w:sz w:val="13"/>
                <w:szCs w:val="13"/>
                <w:color w:val="auto"/>
              </w:rPr>
              <w:t>Rx</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advanced IONIS-AZ4-2.5-L</w:t>
            </w:r>
            <w:r>
              <w:rPr>
                <w:rFonts w:ascii="Times New Roman" w:cs="Times New Roman" w:eastAsia="Times New Roman" w:hAnsi="Times New Roman"/>
                <w:sz w:val="13"/>
                <w:szCs w:val="13"/>
                <w:color w:val="auto"/>
              </w:rPr>
              <w:t>Rx</w:t>
            </w:r>
          </w:p>
        </w:tc>
        <w:tc>
          <w:tcPr>
            <w:tcW w:w="0" w:type="dxa"/>
            <w:vAlign w:val="bottom"/>
          </w:tcPr>
          <w:p>
            <w:pPr>
              <w:spacing w:after="0"/>
              <w:rPr>
                <w:sz w:val="1"/>
                <w:szCs w:val="1"/>
                <w:color w:val="auto"/>
              </w:rPr>
            </w:pPr>
          </w:p>
        </w:tc>
      </w:tr>
      <w:tr>
        <w:trPr>
          <w:trHeight w:val="216"/>
        </w:trPr>
        <w:tc>
          <w:tcPr>
            <w:tcW w:w="420" w:type="dxa"/>
            <w:vAlign w:val="bottom"/>
            <w:tcBorders>
              <w:right w:val="single" w:sz="8" w:color="auto"/>
            </w:tcBorders>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AZ initiation of IONIS-KRAS-2.5</w:t>
            </w:r>
            <w:r>
              <w:rPr>
                <w:rFonts w:ascii="Times New Roman" w:cs="Times New Roman" w:eastAsia="Times New Roman" w:hAnsi="Times New Roman"/>
                <w:sz w:val="13"/>
                <w:szCs w:val="13"/>
                <w:color w:val="auto"/>
              </w:rPr>
              <w:t>Rx</w:t>
            </w:r>
            <w:r>
              <w:rPr>
                <w:rFonts w:ascii="Times New Roman" w:cs="Times New Roman" w:eastAsia="Times New Roman" w:hAnsi="Times New Roman"/>
                <w:sz w:val="16"/>
                <w:szCs w:val="16"/>
                <w:color w:val="auto"/>
              </w:rPr>
              <w:t xml:space="preserve"> Phase 1 study and</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AZ is evaluating IONIS-KRAS-2.5</w:t>
            </w:r>
            <w:r>
              <w:rPr>
                <w:rFonts w:ascii="Times New Roman" w:cs="Times New Roman" w:eastAsia="Times New Roman" w:hAnsi="Times New Roman"/>
                <w:sz w:val="13"/>
                <w:szCs w:val="13"/>
                <w:color w:val="auto"/>
              </w:rPr>
              <w:t>Rx</w:t>
            </w:r>
            <w:r>
              <w:rPr>
                <w:rFonts w:ascii="Times New Roman" w:cs="Times New Roman" w:eastAsia="Times New Roman" w:hAnsi="Times New Roman"/>
                <w:sz w:val="16"/>
                <w:szCs w:val="16"/>
                <w:color w:val="auto"/>
              </w:rPr>
              <w:t xml:space="preserve"> in a Phase 1/2 study</w:t>
            </w:r>
          </w:p>
        </w:tc>
        <w:tc>
          <w:tcPr>
            <w:tcW w:w="0" w:type="dxa"/>
            <w:vAlign w:val="bottom"/>
          </w:tcPr>
          <w:p>
            <w:pPr>
              <w:spacing w:after="0"/>
              <w:rPr>
                <w:sz w:val="1"/>
                <w:szCs w:val="1"/>
                <w:color w:val="auto"/>
              </w:rPr>
            </w:pPr>
          </w:p>
        </w:tc>
      </w:tr>
      <w:tr>
        <w:trPr>
          <w:trHeight w:val="210"/>
        </w:trPr>
        <w:tc>
          <w:tcPr>
            <w:tcW w:w="4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determine maximum tolerated dose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Identify ≥ 1 development candidate with positive AZ</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made significant progress in identifying a</w:t>
            </w:r>
          </w:p>
        </w:tc>
        <w:tc>
          <w:tcPr>
            <w:tcW w:w="0" w:type="dxa"/>
            <w:vAlign w:val="bottom"/>
          </w:tcPr>
          <w:p>
            <w:pPr>
              <w:spacing w:after="0"/>
              <w:rPr>
                <w:sz w:val="1"/>
                <w:szCs w:val="1"/>
                <w:color w:val="auto"/>
              </w:rPr>
            </w:pPr>
          </w:p>
        </w:tc>
      </w:tr>
      <w:tr>
        <w:trPr>
          <w:trHeight w:val="210"/>
        </w:trPr>
        <w:tc>
          <w:tcPr>
            <w:tcW w:w="4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licensing decision</w:t>
            </w: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development candidate</w:t>
            </w:r>
          </w:p>
        </w:tc>
        <w:tc>
          <w:tcPr>
            <w:tcW w:w="0" w:type="dxa"/>
            <w:vAlign w:val="bottom"/>
          </w:tcPr>
          <w:p>
            <w:pPr>
              <w:spacing w:after="0"/>
              <w:rPr>
                <w:sz w:val="1"/>
                <w:szCs w:val="1"/>
                <w:color w:val="auto"/>
              </w:rPr>
            </w:pPr>
          </w:p>
        </w:tc>
      </w:tr>
      <w:tr>
        <w:trPr>
          <w:trHeight w:val="222"/>
        </w:trPr>
        <w:tc>
          <w:tcPr>
            <w:tcW w:w="42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Achieve revenue target across all collaborations</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exceeded the revenue target across all AstraZeneca</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collaborations</w:t>
            </w:r>
          </w:p>
        </w:tc>
        <w:tc>
          <w:tcPr>
            <w:tcW w:w="0" w:type="dxa"/>
            <w:vAlign w:val="bottom"/>
          </w:tcPr>
          <w:p>
            <w:pPr>
              <w:spacing w:after="0"/>
              <w:rPr>
                <w:sz w:val="1"/>
                <w:szCs w:val="1"/>
                <w:color w:val="auto"/>
              </w:rPr>
            </w:pPr>
          </w:p>
        </w:tc>
      </w:tr>
      <w:tr>
        <w:trPr>
          <w:trHeight w:val="176"/>
        </w:trPr>
        <w:tc>
          <w:tcPr>
            <w:tcW w:w="420" w:type="dxa"/>
            <w:vAlign w:val="bottom"/>
            <w:tcBorders>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6"/>
                <w:szCs w:val="16"/>
                <w:color w:val="auto"/>
              </w:rPr>
              <w:t>11</w:t>
            </w:r>
          </w:p>
        </w:tc>
        <w:tc>
          <w:tcPr>
            <w:tcW w:w="4560" w:type="dxa"/>
            <w:vAlign w:val="bottom"/>
            <w:tcBorders>
              <w:right w:val="single" w:sz="8" w:color="auto"/>
            </w:tcBorders>
            <w:gridSpan w:val="2"/>
          </w:tcPr>
          <w:p>
            <w:pPr>
              <w:ind w:left="80"/>
              <w:spacing w:after="0" w:line="176" w:lineRule="exact"/>
              <w:rPr>
                <w:sz w:val="20"/>
                <w:szCs w:val="20"/>
                <w:color w:val="auto"/>
              </w:rPr>
            </w:pPr>
            <w:r>
              <w:rPr>
                <w:rFonts w:ascii="Times New Roman" w:cs="Times New Roman" w:eastAsia="Times New Roman" w:hAnsi="Times New Roman"/>
                <w:sz w:val="16"/>
                <w:szCs w:val="16"/>
                <w:color w:val="auto"/>
              </w:rPr>
              <w:t>Demonstrate the value of technology advancements in the clinic:</w:t>
            </w:r>
          </w:p>
        </w:tc>
        <w:tc>
          <w:tcPr>
            <w:tcW w:w="4580" w:type="dxa"/>
            <w:vAlign w:val="bottom"/>
            <w:gridSpan w:val="4"/>
          </w:tcPr>
          <w:p>
            <w:pPr>
              <w:ind w:left="80"/>
              <w:spacing w:after="0" w:line="176" w:lineRule="exact"/>
              <w:rPr>
                <w:sz w:val="20"/>
                <w:szCs w:val="20"/>
                <w:color w:val="auto"/>
              </w:rPr>
            </w:pPr>
            <w:r>
              <w:rPr>
                <w:rFonts w:ascii="Times New Roman" w:cs="Times New Roman" w:eastAsia="Times New Roman" w:hAnsi="Times New Roman"/>
                <w:sz w:val="16"/>
                <w:szCs w:val="16"/>
                <w:color w:val="auto"/>
              </w:rPr>
              <w:t xml:space="preserve">Ionis </w:t>
            </w:r>
            <w:r>
              <w:rPr>
                <w:rFonts w:ascii="Times New Roman" w:cs="Times New Roman" w:eastAsia="Times New Roman" w:hAnsi="Times New Roman"/>
                <w:sz w:val="16"/>
                <w:szCs w:val="16"/>
                <w:i w:val="1"/>
                <w:iCs w:val="1"/>
                <w:color w:val="auto"/>
              </w:rPr>
              <w:t>exceeded</w:t>
            </w:r>
            <w:r>
              <w:rPr>
                <w:rFonts w:ascii="Times New Roman" w:cs="Times New Roman" w:eastAsia="Times New Roman" w:hAnsi="Times New Roman"/>
                <w:sz w:val="16"/>
                <w:szCs w:val="16"/>
                <w:color w:val="auto"/>
              </w:rPr>
              <w:t xml:space="preserve"> this objective:</w:t>
            </w:r>
          </w:p>
        </w:tc>
        <w:tc>
          <w:tcPr>
            <w:tcW w:w="0" w:type="dxa"/>
            <w:vAlign w:val="bottom"/>
          </w:tcPr>
          <w:p>
            <w:pPr>
              <w:spacing w:after="0"/>
              <w:rPr>
                <w:sz w:val="1"/>
                <w:szCs w:val="1"/>
                <w:color w:val="auto"/>
              </w:rPr>
            </w:pPr>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 w:type="dxa"/>
            <w:vAlign w:val="bottom"/>
            <w:tcBorders>
              <w:right w:val="single" w:sz="8" w:color="auto"/>
            </w:tcBorders>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Advance ≥ 3 LICA drugs through Phase 1 with ED50 ≤ 20</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advanced four LICA drugs into Phase 1 and achieved</w:t>
            </w:r>
          </w:p>
        </w:tc>
        <w:tc>
          <w:tcPr>
            <w:tcW w:w="0" w:type="dxa"/>
            <w:vAlign w:val="bottom"/>
          </w:tcPr>
          <w:p>
            <w:pPr>
              <w:spacing w:after="0"/>
              <w:rPr>
                <w:sz w:val="1"/>
                <w:szCs w:val="1"/>
                <w:color w:val="auto"/>
              </w:rPr>
            </w:pPr>
          </w:p>
        </w:tc>
      </w:tr>
      <w:tr>
        <w:trPr>
          <w:trHeight w:val="210"/>
        </w:trPr>
        <w:tc>
          <w:tcPr>
            <w:tcW w:w="4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mg/wk</w:t>
            </w: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an ED50 ≤ 5 mg/wk</w:t>
            </w:r>
          </w:p>
        </w:tc>
        <w:tc>
          <w:tcPr>
            <w:tcW w:w="0" w:type="dxa"/>
            <w:vAlign w:val="bottom"/>
          </w:tcPr>
          <w:p>
            <w:pPr>
              <w:spacing w:after="0"/>
              <w:rPr>
                <w:sz w:val="1"/>
                <w:szCs w:val="1"/>
                <w:color w:val="auto"/>
              </w:rPr>
            </w:pPr>
          </w:p>
        </w:tc>
      </w:tr>
      <w:tr>
        <w:trPr>
          <w:trHeight w:val="222"/>
        </w:trPr>
        <w:tc>
          <w:tcPr>
            <w:tcW w:w="420" w:type="dxa"/>
            <w:vAlign w:val="bottom"/>
            <w:tcBorders>
              <w:right w:val="single" w:sz="8" w:color="auto"/>
            </w:tcBorders>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Complete IND-enabling toxicology studies on a respiratory</w:t>
            </w: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completed IND-enabling toxicology studies on a</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candidate</w:t>
            </w:r>
          </w:p>
        </w:tc>
        <w:tc>
          <w:tcPr>
            <w:tcW w:w="46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respiratory candidate</w:t>
            </w:r>
          </w:p>
        </w:tc>
        <w:tc>
          <w:tcPr>
            <w:tcW w:w="0" w:type="dxa"/>
            <w:vAlign w:val="bottom"/>
          </w:tcPr>
          <w:p>
            <w:pPr>
              <w:spacing w:after="0"/>
              <w:rPr>
                <w:sz w:val="1"/>
                <w:szCs w:val="1"/>
                <w:color w:val="auto"/>
              </w:rPr>
            </w:pPr>
          </w:p>
        </w:tc>
      </w:tr>
      <w:tr>
        <w:trPr>
          <w:trHeight w:val="176"/>
        </w:trPr>
        <w:tc>
          <w:tcPr>
            <w:tcW w:w="420" w:type="dxa"/>
            <w:vAlign w:val="bottom"/>
            <w:tcBorders>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6"/>
                <w:szCs w:val="16"/>
                <w:color w:val="auto"/>
              </w:rPr>
              <w:t>12</w:t>
            </w:r>
          </w:p>
        </w:tc>
        <w:tc>
          <w:tcPr>
            <w:tcW w:w="4560" w:type="dxa"/>
            <w:vAlign w:val="bottom"/>
            <w:tcBorders>
              <w:right w:val="single" w:sz="8" w:color="auto"/>
            </w:tcBorders>
            <w:gridSpan w:val="2"/>
          </w:tcPr>
          <w:p>
            <w:pPr>
              <w:ind w:left="80"/>
              <w:spacing w:after="0" w:line="176" w:lineRule="exact"/>
              <w:rPr>
                <w:sz w:val="20"/>
                <w:szCs w:val="20"/>
                <w:color w:val="auto"/>
              </w:rPr>
            </w:pPr>
            <w:r>
              <w:rPr>
                <w:rFonts w:ascii="Times New Roman" w:cs="Times New Roman" w:eastAsia="Times New Roman" w:hAnsi="Times New Roman"/>
                <w:sz w:val="16"/>
                <w:szCs w:val="16"/>
                <w:color w:val="auto"/>
              </w:rPr>
              <w:t>Meet budget and financial projections for the year</w:t>
            </w:r>
          </w:p>
        </w:tc>
        <w:tc>
          <w:tcPr>
            <w:tcW w:w="4580" w:type="dxa"/>
            <w:vAlign w:val="bottom"/>
            <w:gridSpan w:val="4"/>
          </w:tcPr>
          <w:p>
            <w:pPr>
              <w:ind w:left="80"/>
              <w:spacing w:after="0" w:line="176" w:lineRule="exact"/>
              <w:rPr>
                <w:sz w:val="20"/>
                <w:szCs w:val="20"/>
                <w:color w:val="auto"/>
              </w:rPr>
            </w:pPr>
            <w:r>
              <w:rPr>
                <w:rFonts w:ascii="Times New Roman" w:cs="Times New Roman" w:eastAsia="Times New Roman" w:hAnsi="Times New Roman"/>
                <w:sz w:val="16"/>
                <w:szCs w:val="16"/>
                <w:color w:val="auto"/>
              </w:rPr>
              <w:t xml:space="preserve">Ionis </w:t>
            </w:r>
            <w:r>
              <w:rPr>
                <w:rFonts w:ascii="Times New Roman" w:cs="Times New Roman" w:eastAsia="Times New Roman" w:hAnsi="Times New Roman"/>
                <w:sz w:val="16"/>
                <w:szCs w:val="16"/>
                <w:i w:val="1"/>
                <w:iCs w:val="1"/>
                <w:color w:val="auto"/>
              </w:rPr>
              <w:t>exceeded</w:t>
            </w:r>
            <w:r>
              <w:rPr>
                <w:rFonts w:ascii="Times New Roman" w:cs="Times New Roman" w:eastAsia="Times New Roman" w:hAnsi="Times New Roman"/>
                <w:sz w:val="16"/>
                <w:szCs w:val="16"/>
                <w:color w:val="auto"/>
              </w:rPr>
              <w:t xml:space="preserve"> this objective:</w:t>
            </w:r>
          </w:p>
        </w:tc>
        <w:tc>
          <w:tcPr>
            <w:tcW w:w="0" w:type="dxa"/>
            <w:vAlign w:val="bottom"/>
          </w:tcPr>
          <w:p>
            <w:pPr>
              <w:spacing w:after="0"/>
              <w:rPr>
                <w:sz w:val="1"/>
                <w:szCs w:val="1"/>
                <w:color w:val="auto"/>
              </w:rPr>
            </w:pPr>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220" w:type="dxa"/>
            <w:vAlign w:val="bottom"/>
            <w:tcBorders>
              <w:right w:val="single" w:sz="8" w:color="auto"/>
            </w:tcBorders>
          </w:tcPr>
          <w:p>
            <w:pPr>
              <w:spacing w:after="0"/>
              <w:rPr>
                <w:sz w:val="20"/>
                <w:szCs w:val="2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Ionis significantly exceeded its improved financial</w:t>
            </w:r>
          </w:p>
        </w:tc>
        <w:tc>
          <w:tcPr>
            <w:tcW w:w="0" w:type="dxa"/>
            <w:vAlign w:val="bottom"/>
          </w:tcPr>
          <w:p>
            <w:pPr>
              <w:spacing w:after="0"/>
              <w:rPr>
                <w:sz w:val="1"/>
                <w:szCs w:val="1"/>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2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guidance for 2017 and ended 2017 in a very strong</w:t>
            </w:r>
          </w:p>
        </w:tc>
        <w:tc>
          <w:tcPr>
            <w:tcW w:w="0" w:type="dxa"/>
            <w:vAlign w:val="bottom"/>
          </w:tcPr>
          <w:p>
            <w:pPr>
              <w:spacing w:after="0"/>
              <w:rPr>
                <w:sz w:val="1"/>
                <w:szCs w:val="1"/>
                <w:color w:val="auto"/>
              </w:rPr>
            </w:pPr>
          </w:p>
        </w:tc>
      </w:tr>
      <w:tr>
        <w:trPr>
          <w:trHeight w:val="210"/>
        </w:trPr>
        <w:tc>
          <w:tcPr>
            <w:tcW w:w="4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financial position</w:t>
            </w:r>
          </w:p>
        </w:tc>
        <w:tc>
          <w:tcPr>
            <w:tcW w:w="0" w:type="dxa"/>
            <w:vAlign w:val="bottom"/>
          </w:tcPr>
          <w:p>
            <w:pPr>
              <w:spacing w:after="0"/>
              <w:rPr>
                <w:sz w:val="1"/>
                <w:szCs w:val="1"/>
                <w:color w:val="auto"/>
              </w:rPr>
            </w:pPr>
          </w:p>
        </w:tc>
      </w:tr>
      <w:tr>
        <w:trPr>
          <w:trHeight w:val="243"/>
        </w:trPr>
        <w:tc>
          <w:tcPr>
            <w:tcW w:w="42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22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Ionis met its budget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44" w:name="page45"/>
    <w:bookmarkEnd w:id="44"/>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071870" cy="12350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1235075"/>
                    </a:xfrm>
                    <a:prstGeom prst="rect">
                      <a:avLst/>
                    </a:prstGeom>
                    <a:noFill/>
                  </pic:spPr>
                </pic:pic>
              </a:graphicData>
            </a:graphic>
          </wp:anchor>
        </w:drawing>
      </w:r>
    </w:p>
    <w:p>
      <w:pPr>
        <w:spacing w:after="0" w:line="14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Evaluation of 2017 Corporate Objectives</w:t>
      </w:r>
    </w:p>
    <w:p>
      <w:pPr>
        <w:spacing w:after="0" w:line="26" w:lineRule="exact"/>
        <w:rPr>
          <w:sz w:val="20"/>
          <w:szCs w:val="20"/>
          <w:color w:val="auto"/>
        </w:rPr>
      </w:pPr>
    </w:p>
    <w:tbl>
      <w:tblPr>
        <w:tblLayout w:type="fixed"/>
        <w:tblInd w:w="7" w:type="dxa"/>
        <w:tblCellMar>
          <w:top w:w="0" w:type="dxa"/>
          <w:left w:w="0" w:type="dxa"/>
          <w:bottom w:w="0" w:type="dxa"/>
          <w:right w:w="0" w:type="dxa"/>
        </w:tblCellMar>
      </w:tblPr>
      <w:tr>
        <w:trPr>
          <w:trHeight w:val="183"/>
        </w:trPr>
        <w:tc>
          <w:tcPr>
            <w:tcW w:w="420" w:type="dxa"/>
            <w:vAlign w:val="bottom"/>
            <w:tcBorders>
              <w:top w:val="single" w:sz="8" w:color="auto"/>
              <w:bottom w:val="single" w:sz="8" w:color="auto"/>
              <w:right w:val="single" w:sz="8" w:color="auto"/>
            </w:tcBorders>
          </w:tcPr>
          <w:p>
            <w:pPr>
              <w:spacing w:after="0"/>
              <w:rPr>
                <w:sz w:val="15"/>
                <w:szCs w:val="15"/>
                <w:color w:val="auto"/>
              </w:rPr>
            </w:pPr>
          </w:p>
        </w:tc>
        <w:tc>
          <w:tcPr>
            <w:tcW w:w="4680" w:type="dxa"/>
            <w:vAlign w:val="bottom"/>
            <w:tcBorders>
              <w:top w:val="single" w:sz="8" w:color="auto"/>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Objective &amp; Pre-Approved Objective Measures</w:t>
            </w:r>
          </w:p>
        </w:tc>
        <w:tc>
          <w:tcPr>
            <w:tcW w:w="4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78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Evaluation</w:t>
            </w:r>
          </w:p>
        </w:tc>
        <w:tc>
          <w:tcPr>
            <w:tcW w:w="0" w:type="dxa"/>
            <w:vAlign w:val="bottom"/>
          </w:tcPr>
          <w:p>
            <w:pPr>
              <w:spacing w:after="0"/>
              <w:rPr>
                <w:sz w:val="1"/>
                <w:szCs w:val="1"/>
                <w:color w:val="auto"/>
              </w:rPr>
            </w:pPr>
          </w:p>
        </w:tc>
      </w:tr>
      <w:tr>
        <w:trPr>
          <w:trHeight w:val="169"/>
        </w:trPr>
        <w:tc>
          <w:tcPr>
            <w:tcW w:w="420" w:type="dxa"/>
            <w:vAlign w:val="bottom"/>
            <w:tcBorders>
              <w:right w:val="single" w:sz="8" w:color="auto"/>
            </w:tcBorders>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rPr>
              <w:t>13</w:t>
            </w:r>
          </w:p>
        </w:tc>
        <w:tc>
          <w:tcPr>
            <w:tcW w:w="468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6"/>
                <w:szCs w:val="16"/>
                <w:color w:val="auto"/>
              </w:rPr>
              <w:t>Increase stock price performance by a percentage greater than or</w:t>
            </w:r>
          </w:p>
        </w:tc>
        <w:tc>
          <w:tcPr>
            <w:tcW w:w="4460" w:type="dxa"/>
            <w:vAlign w:val="bottom"/>
            <w:gridSpan w:val="3"/>
          </w:tcPr>
          <w:p>
            <w:pPr>
              <w:ind w:left="80"/>
              <w:spacing w:after="0" w:line="169" w:lineRule="exact"/>
              <w:rPr>
                <w:sz w:val="20"/>
                <w:szCs w:val="20"/>
                <w:color w:val="auto"/>
              </w:rPr>
            </w:pPr>
            <w:r>
              <w:rPr>
                <w:rFonts w:ascii="Times New Roman" w:cs="Times New Roman" w:eastAsia="Times New Roman" w:hAnsi="Times New Roman"/>
                <w:sz w:val="16"/>
                <w:szCs w:val="16"/>
                <w:color w:val="auto"/>
              </w:rPr>
              <w:t xml:space="preserve">Ionis </w:t>
            </w:r>
            <w:r>
              <w:rPr>
                <w:rFonts w:ascii="Times New Roman" w:cs="Times New Roman" w:eastAsia="Times New Roman" w:hAnsi="Times New Roman"/>
                <w:sz w:val="16"/>
                <w:szCs w:val="16"/>
                <w:i w:val="1"/>
                <w:iCs w:val="1"/>
                <w:color w:val="auto"/>
              </w:rPr>
              <w:t>met</w:t>
            </w:r>
            <w:r>
              <w:rPr>
                <w:rFonts w:ascii="Times New Roman" w:cs="Times New Roman" w:eastAsia="Times New Roman" w:hAnsi="Times New Roman"/>
                <w:sz w:val="16"/>
                <w:szCs w:val="16"/>
                <w:color w:val="auto"/>
              </w:rPr>
              <w:t xml:space="preserve"> this objective:</w:t>
            </w:r>
          </w:p>
        </w:tc>
        <w:tc>
          <w:tcPr>
            <w:tcW w:w="0" w:type="dxa"/>
            <w:vAlign w:val="bottom"/>
          </w:tcPr>
          <w:p>
            <w:pPr>
              <w:spacing w:after="0"/>
              <w:rPr>
                <w:sz w:val="1"/>
                <w:szCs w:val="1"/>
                <w:color w:val="auto"/>
              </w:rPr>
            </w:pPr>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46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equal to median of the companies listed in the Nasdaq</w:t>
            </w: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vMerge w:val="continue"/>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Ionis’ stock price had outperformed the median stock</w:t>
            </w: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spacing w:after="0"/>
              <w:rPr>
                <w:sz w:val="19"/>
                <w:szCs w:val="19"/>
                <w:color w:val="auto"/>
              </w:rPr>
            </w:pPr>
          </w:p>
        </w:tc>
        <w:tc>
          <w:tcPr>
            <w:tcW w:w="4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Biotechnology Index</w:t>
            </w:r>
          </w:p>
        </w:tc>
        <w:tc>
          <w:tcPr>
            <w:tcW w:w="460" w:type="dxa"/>
            <w:vAlign w:val="bottom"/>
          </w:tcPr>
          <w:p>
            <w:pPr>
              <w:spacing w:after="0"/>
              <w:rPr>
                <w:sz w:val="19"/>
                <w:szCs w:val="19"/>
                <w:color w:val="auto"/>
              </w:rPr>
            </w:pPr>
          </w:p>
        </w:tc>
        <w:tc>
          <w:tcPr>
            <w:tcW w:w="4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price change for companies listed in the Nasdaq</w:t>
            </w:r>
          </w:p>
        </w:tc>
        <w:tc>
          <w:tcPr>
            <w:tcW w:w="0" w:type="dxa"/>
            <w:vAlign w:val="bottom"/>
          </w:tcPr>
          <w:p>
            <w:pPr>
              <w:spacing w:after="0"/>
              <w:rPr>
                <w:sz w:val="1"/>
                <w:szCs w:val="1"/>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Biotechnology Index at the time the Compensation</w:t>
            </w:r>
          </w:p>
        </w:tc>
        <w:tc>
          <w:tcPr>
            <w:tcW w:w="0" w:type="dxa"/>
            <w:vAlign w:val="bottom"/>
          </w:tcPr>
          <w:p>
            <w:pPr>
              <w:spacing w:after="0"/>
              <w:rPr>
                <w:sz w:val="1"/>
                <w:szCs w:val="1"/>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Committee evaluated and determined compensation for</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right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the year</w:t>
            </w:r>
          </w:p>
        </w:tc>
        <w:tc>
          <w:tcPr>
            <w:tcW w:w="0" w:type="dxa"/>
            <w:vAlign w:val="bottom"/>
          </w:tcPr>
          <w:p>
            <w:pPr>
              <w:spacing w:after="0"/>
              <w:rPr>
                <w:sz w:val="1"/>
                <w:szCs w:val="1"/>
                <w:color w:val="auto"/>
              </w:rPr>
            </w:pPr>
          </w:p>
        </w:tc>
      </w:tr>
      <w:tr>
        <w:trPr>
          <w:trHeight w:val="176"/>
        </w:trPr>
        <w:tc>
          <w:tcPr>
            <w:tcW w:w="420" w:type="dxa"/>
            <w:vAlign w:val="bottom"/>
            <w:tcBorders>
              <w:right w:val="single" w:sz="8" w:color="auto"/>
            </w:tcBorders>
          </w:tcPr>
          <w:p>
            <w:pPr>
              <w:jc w:val="right"/>
              <w:ind w:right="59"/>
              <w:spacing w:after="0" w:line="176" w:lineRule="exact"/>
              <w:rPr>
                <w:sz w:val="20"/>
                <w:szCs w:val="20"/>
                <w:color w:val="auto"/>
              </w:rPr>
            </w:pPr>
            <w:r>
              <w:rPr>
                <w:rFonts w:ascii="Times New Roman" w:cs="Times New Roman" w:eastAsia="Times New Roman" w:hAnsi="Times New Roman"/>
                <w:sz w:val="16"/>
                <w:szCs w:val="16"/>
                <w:color w:val="auto"/>
              </w:rPr>
              <w:t>14</w:t>
            </w:r>
          </w:p>
        </w:tc>
        <w:tc>
          <w:tcPr>
            <w:tcW w:w="468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6"/>
                <w:szCs w:val="16"/>
                <w:color w:val="auto"/>
              </w:rPr>
              <w:t>Improve collaboration between Ionis and Akcea</w:t>
            </w:r>
          </w:p>
        </w:tc>
        <w:tc>
          <w:tcPr>
            <w:tcW w:w="4460" w:type="dxa"/>
            <w:vAlign w:val="bottom"/>
            <w:gridSpan w:val="3"/>
          </w:tcPr>
          <w:p>
            <w:pPr>
              <w:ind w:left="80"/>
              <w:spacing w:after="0" w:line="176" w:lineRule="exact"/>
              <w:rPr>
                <w:sz w:val="20"/>
                <w:szCs w:val="20"/>
                <w:color w:val="auto"/>
              </w:rPr>
            </w:pPr>
            <w:r>
              <w:rPr>
                <w:rFonts w:ascii="Times New Roman" w:cs="Times New Roman" w:eastAsia="Times New Roman" w:hAnsi="Times New Roman"/>
                <w:sz w:val="16"/>
                <w:szCs w:val="16"/>
                <w:color w:val="auto"/>
              </w:rPr>
              <w:t xml:space="preserve">Ionis </w:t>
            </w:r>
            <w:r>
              <w:rPr>
                <w:rFonts w:ascii="Times New Roman" w:cs="Times New Roman" w:eastAsia="Times New Roman" w:hAnsi="Times New Roman"/>
                <w:sz w:val="16"/>
                <w:szCs w:val="16"/>
                <w:i w:val="1"/>
                <w:iCs w:val="1"/>
                <w:color w:val="auto"/>
              </w:rPr>
              <w:t>met</w:t>
            </w:r>
            <w:r>
              <w:rPr>
                <w:rFonts w:ascii="Times New Roman" w:cs="Times New Roman" w:eastAsia="Times New Roman" w:hAnsi="Times New Roman"/>
                <w:sz w:val="16"/>
                <w:szCs w:val="16"/>
                <w:color w:val="auto"/>
              </w:rPr>
              <w:t xml:space="preserve"> this objective</w:t>
            </w:r>
          </w:p>
        </w:tc>
        <w:tc>
          <w:tcPr>
            <w:tcW w:w="0" w:type="dxa"/>
            <w:vAlign w:val="bottom"/>
          </w:tcPr>
          <w:p>
            <w:pPr>
              <w:spacing w:after="0"/>
              <w:rPr>
                <w:sz w:val="1"/>
                <w:szCs w:val="1"/>
                <w:color w:val="auto"/>
              </w:rPr>
            </w:pPr>
          </w:p>
        </w:tc>
      </w:tr>
      <w:tr>
        <w:trPr>
          <w:trHeight w:val="34"/>
        </w:trPr>
        <w:tc>
          <w:tcPr>
            <w:tcW w:w="420" w:type="dxa"/>
            <w:vAlign w:val="bottom"/>
            <w:tcBorders>
              <w:bottom w:val="single" w:sz="8" w:color="auto"/>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 w:right="140" w:firstLine="360"/>
        <w:spacing w:after="0" w:line="266" w:lineRule="auto"/>
        <w:rPr>
          <w:sz w:val="20"/>
          <w:szCs w:val="20"/>
          <w:color w:val="auto"/>
        </w:rPr>
      </w:pPr>
      <w:r>
        <w:rPr>
          <w:rFonts w:ascii="Times New Roman" w:cs="Times New Roman" w:eastAsia="Times New Roman" w:hAnsi="Times New Roman"/>
          <w:sz w:val="18"/>
          <w:szCs w:val="18"/>
          <w:color w:val="auto"/>
        </w:rPr>
        <w:t>Once the Committee establishes the Company Performance Factor, the Committee next reviews individual performance and sets each Executive Officer’s Performance MBO payout. The following table illustrates the Performance MBOs approved for 2017 performance:</w:t>
      </w:r>
    </w:p>
    <w:p>
      <w:pPr>
        <w:spacing w:after="0" w:line="12" w:lineRule="exact"/>
        <w:rPr>
          <w:sz w:val="20"/>
          <w:szCs w:val="20"/>
          <w:color w:val="auto"/>
        </w:rPr>
      </w:pPr>
    </w:p>
    <w:tbl>
      <w:tblPr>
        <w:tblLayout w:type="fixed"/>
        <w:tblInd w:w="17" w:type="dxa"/>
        <w:tblCellMar>
          <w:top w:w="0" w:type="dxa"/>
          <w:left w:w="0" w:type="dxa"/>
          <w:bottom w:w="0" w:type="dxa"/>
          <w:right w:w="0" w:type="dxa"/>
        </w:tblCellMar>
      </w:tblPr>
      <w:tr>
        <w:trPr>
          <w:trHeight w:val="178"/>
        </w:trPr>
        <w:tc>
          <w:tcPr>
            <w:tcW w:w="2500" w:type="dxa"/>
            <w:vAlign w:val="bottom"/>
            <w:tcBorders>
              <w:top w:val="single" w:sz="8" w:color="auto"/>
              <w:left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820" w:type="dxa"/>
            <w:vAlign w:val="bottom"/>
            <w:tcBorders>
              <w:top w:val="single" w:sz="8" w:color="auto"/>
              <w:right w:val="single" w:sz="8" w:color="auto"/>
            </w:tcBorders>
          </w:tcPr>
          <w:p>
            <w:pPr>
              <w:spacing w:after="0"/>
              <w:rPr>
                <w:sz w:val="15"/>
                <w:szCs w:val="15"/>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Resulting</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 Considered When</w:t>
            </w:r>
          </w:p>
        </w:tc>
      </w:tr>
      <w:tr>
        <w:trPr>
          <w:trHeight w:val="146"/>
        </w:trPr>
        <w:tc>
          <w:tcPr>
            <w:tcW w:w="250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Base</w:t>
            </w:r>
          </w:p>
        </w:tc>
        <w:tc>
          <w:tcPr>
            <w:tcW w:w="820" w:type="dxa"/>
            <w:vAlign w:val="bottom"/>
            <w:tcBorders>
              <w:right w:val="single" w:sz="8" w:color="auto"/>
            </w:tcBorders>
          </w:tcPr>
          <w:p>
            <w:pPr>
              <w:jc w:val="right"/>
              <w:ind w:right="155"/>
              <w:spacing w:after="0" w:line="147" w:lineRule="exact"/>
              <w:rPr>
                <w:sz w:val="20"/>
                <w:szCs w:val="20"/>
                <w:color w:val="auto"/>
              </w:rPr>
            </w:pPr>
            <w:r>
              <w:rPr>
                <w:rFonts w:ascii="Times New Roman" w:cs="Times New Roman" w:eastAsia="Times New Roman" w:hAnsi="Times New Roman"/>
                <w:sz w:val="14"/>
                <w:szCs w:val="14"/>
                <w:b w:val="1"/>
                <w:bCs w:val="1"/>
                <w:color w:val="auto"/>
              </w:rPr>
              <w:t>Target</w:t>
            </w:r>
          </w:p>
        </w:tc>
        <w:tc>
          <w:tcPr>
            <w:tcW w:w="110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10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40" w:type="dxa"/>
            <w:vAlign w:val="bottom"/>
            <w:tcBorders>
              <w:right w:val="single" w:sz="8" w:color="auto"/>
            </w:tcBorders>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20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Setting Individual</w:t>
            </w:r>
          </w:p>
        </w:tc>
      </w:tr>
      <w:tr>
        <w:trPr>
          <w:trHeight w:val="203"/>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tcBorders>
              <w:bottom w:val="single" w:sz="8" w:color="auto"/>
              <w:right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MBO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MBO</w:t>
            </w:r>
          </w:p>
        </w:tc>
        <w:tc>
          <w:tcPr>
            <w:tcW w:w="2040" w:type="dxa"/>
            <w:vAlign w:val="bottom"/>
            <w:tcBorders>
              <w:bottom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Performance Factor</w:t>
            </w:r>
            <w:r>
              <w:rPr>
                <w:rFonts w:ascii="Times New Roman" w:cs="Times New Roman" w:eastAsia="Times New Roman" w:hAnsi="Times New Roman"/>
                <w:sz w:val="23"/>
                <w:szCs w:val="23"/>
                <w:b w:val="1"/>
                <w:bCs w:val="1"/>
                <w:color w:val="auto"/>
                <w:w w:val="99"/>
                <w:vertAlign w:val="superscript"/>
              </w:rPr>
              <w:t>(1)</w:t>
            </w:r>
          </w:p>
        </w:tc>
      </w:tr>
      <w:tr>
        <w:trPr>
          <w:trHeight w:val="237"/>
        </w:trPr>
        <w:tc>
          <w:tcPr>
            <w:tcW w:w="2500" w:type="dxa"/>
            <w:vAlign w:val="bottom"/>
            <w:tcBorders>
              <w:left w:val="single" w:sz="8" w:color="auto"/>
              <w:bottom w:val="single" w:sz="8" w:color="auto"/>
              <w:right w:val="single" w:sz="8" w:color="auto"/>
            </w:tcBorders>
            <w:shd w:val="clear" w:color="auto" w:fill="CCEEFF"/>
          </w:tcPr>
          <w:p>
            <w:pPr>
              <w:ind w:left="40"/>
              <w:spacing w:after="0" w:line="236" w:lineRule="exact"/>
              <w:rPr>
                <w:sz w:val="20"/>
                <w:szCs w:val="20"/>
                <w:color w:val="auto"/>
              </w:rPr>
            </w:pPr>
            <w:r>
              <w:rPr>
                <w:rFonts w:ascii="Times New Roman" w:cs="Times New Roman" w:eastAsia="Times New Roman" w:hAnsi="Times New Roman"/>
                <w:sz w:val="17"/>
                <w:szCs w:val="17"/>
                <w:color w:val="auto"/>
              </w:rPr>
              <w:t>Stanley T. Crooke</w:t>
            </w:r>
            <w:r>
              <w:rPr>
                <w:rFonts w:ascii="Times New Roman" w:cs="Times New Roman" w:eastAsia="Times New Roman" w:hAnsi="Times New Roman"/>
                <w:sz w:val="27"/>
                <w:szCs w:val="27"/>
                <w:color w:val="auto"/>
                <w:vertAlign w:val="superscript"/>
              </w:rPr>
              <w:t>(2)</w:t>
            </w: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$ 849,271</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99"/>
              </w:rPr>
              <w:t>1,006,068</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1-14</w:t>
            </w:r>
          </w:p>
        </w:tc>
      </w:tr>
      <w:tr>
        <w:trPr>
          <w:trHeight w:val="232"/>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Elizabeth L. Hougen</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$ 425,224</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264,064</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 8-9, &amp; 12-14</w:t>
            </w:r>
          </w:p>
        </w:tc>
      </w:tr>
      <w:tr>
        <w:trPr>
          <w:trHeight w:val="241"/>
        </w:trPr>
        <w:tc>
          <w:tcPr>
            <w:tcW w:w="2500" w:type="dxa"/>
            <w:vAlign w:val="bottom"/>
            <w:tcBorders>
              <w:left w:val="single" w:sz="8" w:color="auto"/>
              <w:bottom w:val="single" w:sz="8" w:color="auto"/>
              <w:right w:val="single" w:sz="8" w:color="auto"/>
            </w:tcBorders>
            <w:shd w:val="clear" w:color="auto" w:fill="CCEEFF"/>
          </w:tcPr>
          <w:p>
            <w:pPr>
              <w:ind w:left="40"/>
              <w:spacing w:after="0" w:line="241" w:lineRule="exact"/>
              <w:rPr>
                <w:sz w:val="20"/>
                <w:szCs w:val="20"/>
                <w:color w:val="auto"/>
              </w:rPr>
            </w:pPr>
            <w:r>
              <w:rPr>
                <w:rFonts w:ascii="Times New Roman" w:cs="Times New Roman" w:eastAsia="Times New Roman" w:hAnsi="Times New Roman"/>
                <w:sz w:val="17"/>
                <w:szCs w:val="17"/>
                <w:color w:val="auto"/>
              </w:rPr>
              <w:t>B. Lynne Parshall</w:t>
            </w:r>
            <w:r>
              <w:rPr>
                <w:rFonts w:ascii="Times New Roman" w:cs="Times New Roman" w:eastAsia="Times New Roman" w:hAnsi="Times New Roman"/>
                <w:sz w:val="27"/>
                <w:szCs w:val="27"/>
                <w:color w:val="auto"/>
                <w:vertAlign w:val="superscript"/>
              </w:rPr>
              <w:t>(2)</w:t>
            </w: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$ 734,056</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668,909</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1-14</w:t>
            </w:r>
          </w:p>
        </w:tc>
      </w:tr>
      <w:tr>
        <w:trPr>
          <w:trHeight w:val="232"/>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Brett Monia</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$ 443,480</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335,271</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 6-7 &amp; 9-13</w:t>
            </w:r>
          </w:p>
        </w:tc>
      </w:tr>
      <w:tr>
        <w:trPr>
          <w:trHeight w:val="237"/>
        </w:trPr>
        <w:tc>
          <w:tcPr>
            <w:tcW w:w="25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Richard Geary</w:t>
            </w: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$ 456,323</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320,339</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 9-11 &amp; 13</w:t>
            </w:r>
          </w:p>
        </w:tc>
      </w:tr>
    </w:tbl>
    <w:p>
      <w:pPr>
        <w:spacing w:after="0" w:line="99" w:lineRule="exact"/>
        <w:rPr>
          <w:sz w:val="20"/>
          <w:szCs w:val="20"/>
          <w:color w:val="auto"/>
        </w:rPr>
      </w:pPr>
    </w:p>
    <w:p>
      <w:pPr>
        <w:ind w:left="347" w:right="740" w:hanging="347"/>
        <w:spacing w:after="0" w:line="282" w:lineRule="auto"/>
        <w:tabs>
          <w:tab w:leader="none" w:pos="347"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numbers correspond to the enumerated objectives in the table entitled “Evaluation of 2017 Corporate Objectives” on pages </w:t>
      </w:r>
      <w:hyperlink w:anchor="page42">
        <w:r>
          <w:rPr>
            <w:rFonts w:ascii="Times New Roman" w:cs="Times New Roman" w:eastAsia="Times New Roman" w:hAnsi="Times New Roman"/>
            <w:sz w:val="14"/>
            <w:szCs w:val="14"/>
            <w:u w:val="single" w:color="auto"/>
            <w:color w:val="0000EE"/>
          </w:rPr>
          <w:t>39</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through </w:t>
      </w:r>
      <w:r>
        <w:rPr>
          <w:rFonts w:ascii="Times New Roman" w:cs="Times New Roman" w:eastAsia="Times New Roman" w:hAnsi="Times New Roman"/>
          <w:sz w:val="14"/>
          <w:szCs w:val="14"/>
          <w:u w:val="single" w:color="auto"/>
          <w:color w:val="0000EE"/>
        </w:rPr>
        <w:t>42</w:t>
      </w:r>
      <w:r>
        <w:rPr>
          <w:rFonts w:ascii="Times New Roman" w:cs="Times New Roman" w:eastAsia="Times New Roman" w:hAnsi="Times New Roman"/>
          <w:sz w:val="14"/>
          <w:szCs w:val="14"/>
          <w:color w:val="auto"/>
        </w:rPr>
        <w:t>. The Compensation Committee reviews the individual’s contribution towards the corporate objective when setting the Individual Performance Factor.</w:t>
      </w:r>
    </w:p>
    <w:p>
      <w:pPr>
        <w:spacing w:after="0" w:line="53" w:lineRule="exact"/>
        <w:rPr>
          <w:rFonts w:ascii="Times New Roman" w:cs="Times New Roman" w:eastAsia="Times New Roman" w:hAnsi="Times New Roman"/>
          <w:sz w:val="14"/>
          <w:szCs w:val="14"/>
          <w:color w:val="auto"/>
        </w:rPr>
      </w:pPr>
    </w:p>
    <w:p>
      <w:pPr>
        <w:ind w:left="347" w:right="600" w:hanging="347"/>
        <w:spacing w:after="0" w:line="282" w:lineRule="auto"/>
        <w:tabs>
          <w:tab w:leader="none" w:pos="347"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our CEO and COO are ultimately responsible for the Company’s performance, their Individual Performance Factors are usually the same as the Company Performance Factor, up to an Individual Performance Factor maximum of 160%.</w:t>
      </w:r>
    </w:p>
    <w:p>
      <w:pPr>
        <w:spacing w:after="0" w:line="4" w:lineRule="exact"/>
        <w:rPr>
          <w:sz w:val="20"/>
          <w:szCs w:val="20"/>
          <w:color w:val="auto"/>
        </w:rPr>
      </w:pPr>
    </w:p>
    <w:p>
      <w:pPr>
        <w:ind w:left="187" w:right="3180" w:firstLine="87"/>
        <w:spacing w:after="0" w:line="255" w:lineRule="auto"/>
        <w:rPr>
          <w:sz w:val="20"/>
          <w:szCs w:val="20"/>
          <w:color w:val="auto"/>
        </w:rPr>
      </w:pPr>
      <w:r>
        <w:rPr>
          <w:rFonts w:ascii="Times New Roman" w:cs="Times New Roman" w:eastAsia="Times New Roman" w:hAnsi="Times New Roman"/>
          <w:sz w:val="18"/>
          <w:szCs w:val="18"/>
          <w:color w:val="auto"/>
        </w:rPr>
        <w:t>The Company Performance Factor reflects a decrease of 15 percentage points from the 2016 Company Performance Factor of 150% in part due to the modest stock price performance for the year, but reflects a strong year of performance against the preset strategic objectives, including revenue growth of more than 45% from 2016. As noted earlier, the corporate objectives are set and approved by our Board at the beginning of each year with objective measures. We ensure these objectives are aggressive and we define excellent performance as a year in which we have met most of the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-965200</wp:posOffset>
            </wp:positionV>
            <wp:extent cx="1749425" cy="926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49425" cy="926465"/>
                    </a:xfrm>
                    <a:prstGeom prst="rect">
                      <a:avLst/>
                    </a:prstGeom>
                    <a:noFill/>
                  </pic:spPr>
                </pic:pic>
              </a:graphicData>
            </a:graphic>
          </wp:anchor>
        </w:drawing>
      </w:r>
    </w:p>
    <w:p>
      <w:pPr>
        <w:spacing w:after="0" w:line="181"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i w:val="1"/>
          <w:iCs w:val="1"/>
          <w:color w:val="auto"/>
        </w:rPr>
        <w:t>Stock Compensation</w:t>
      </w:r>
    </w:p>
    <w:p>
      <w:pPr>
        <w:spacing w:after="0" w:line="79" w:lineRule="exact"/>
        <w:rPr>
          <w:sz w:val="20"/>
          <w:szCs w:val="20"/>
          <w:color w:val="auto"/>
        </w:rPr>
      </w:pPr>
    </w:p>
    <w:p>
      <w:pPr>
        <w:ind w:left="187" w:right="3180" w:firstLine="87"/>
        <w:spacing w:after="0" w:line="254" w:lineRule="auto"/>
        <w:rPr>
          <w:sz w:val="20"/>
          <w:szCs w:val="20"/>
          <w:color w:val="auto"/>
        </w:rPr>
      </w:pPr>
      <w:r>
        <w:rPr>
          <w:rFonts w:ascii="Times New Roman" w:cs="Times New Roman" w:eastAsia="Times New Roman" w:hAnsi="Times New Roman"/>
          <w:sz w:val="18"/>
          <w:szCs w:val="18"/>
          <w:color w:val="auto"/>
        </w:rPr>
        <w:t>We use stock options and RSUs to give all employees, including Ionis’ executive officers, an economic interest in the long-term appreciation of our common stock. We believe awarding a combination of stock options and RSUs provides a number of benefits. Stock options provide a way to align employee interests with those of upper management and the stockholders because as our stock price increases, so too does the employee’s compensation. In 2012, we started granting RSUs as part of the annual merit equity awards. RSUs are a strong retention vehicle for employees as the RSUs vest in annual installments over four years and have value upon vesting, but at the same time, require fewer shares than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-1239520</wp:posOffset>
            </wp:positionV>
            <wp:extent cx="1603375" cy="1191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03375" cy="1191895"/>
                    </a:xfrm>
                    <a:prstGeom prst="rect">
                      <a:avLst/>
                    </a:prstGeom>
                    <a:noFill/>
                  </pic:spPr>
                </pic:pic>
              </a:graphicData>
            </a:graphic>
          </wp:anchor>
        </w:drawing>
      </w:r>
    </w:p>
    <w:p>
      <w:pPr>
        <w:spacing w:after="0" w:line="73" w:lineRule="exact"/>
        <w:rPr>
          <w:sz w:val="20"/>
          <w:szCs w:val="20"/>
          <w:color w:val="auto"/>
        </w:rPr>
      </w:pPr>
    </w:p>
    <w:p>
      <w:pPr>
        <w:ind w:left="7" w:right="20" w:firstLine="360"/>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Some of our largest institutional stockholders agree our stock options are performance-based and the best vehicle for our long-term compensation. Our independent compensation consultant did not recommend we change our equity vehicles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past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years we discussed our use of time-vested stock options and RSU awards with our institutional stockholders. The results of this process were that many of our stockholders acknowledged that options are prevalent in the biopharmaceutical industry and are considered performance-based</w:t>
      </w:r>
    </w:p>
    <w:p>
      <w:pPr>
        <w:spacing w:after="0" w:line="18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because they require the stock price to appreciate following the grant date and prior to vesting and exercise to provide economic value to the recipient. In addition, many of our stockholders agreed that we had the right mix of equity vehicles for our industry and stage. Our independent compensation consultant also believes time-vested stock options are performance-based compensation and an appropriate equity vehicle for Ionis. Also the Compensation Committee believes we would be disadvantaged if we did not offer time-vested equity awards since most companies with which we compete for top talent (including most companies in the Executive Peer Group) do not use performance-based vesting for equity compensation.</w:t>
      </w:r>
    </w:p>
    <w:p>
      <w:pPr>
        <w:spacing w:after="0" w:line="80" w:lineRule="exact"/>
        <w:rPr>
          <w:sz w:val="20"/>
          <w:szCs w:val="20"/>
          <w:color w:val="auto"/>
        </w:rPr>
      </w:pPr>
    </w:p>
    <w:p>
      <w:pPr>
        <w:ind w:right="220" w:firstLine="360"/>
        <w:spacing w:after="0" w:line="282" w:lineRule="auto"/>
        <w:rPr>
          <w:sz w:val="20"/>
          <w:szCs w:val="20"/>
          <w:color w:val="auto"/>
        </w:rPr>
      </w:pPr>
      <w:r>
        <w:rPr>
          <w:rFonts w:ascii="Times New Roman" w:cs="Times New Roman" w:eastAsia="Times New Roman" w:hAnsi="Times New Roman"/>
          <w:sz w:val="18"/>
          <w:szCs w:val="18"/>
          <w:color w:val="auto"/>
        </w:rPr>
        <w:t>We grant existing employees new options and RSUs annually to provide a continuing financial incentive in Ionis’ long-term success. We set the size of the equity awards based on individual and company performance during the previous year.</w:t>
      </w:r>
    </w:p>
    <w:p>
      <w:pPr>
        <w:spacing w:after="0" w:line="52"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Vesting schedules reward long-term performance and incentivize long-term stock appreciation and increased stockholder returns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each stock option and RSU granted, the Compensation Committee sets a vesting schedule over four years, with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during the first year. Therefore, the stock options and RSUs granted to our executive officers directly align the interests of our executive officers with the interests of our stockholders and Ionis’ long-term success. The actual economic value of stock option awards depends directly on the performance of our stock price over the period during which the awards vest and the period during which the options may be exercised. In other words, the stock options are not worth anything if our stock price does not increase above the exercise price. Our executive officers will only realize economic value when our stock price, and consequently stockholder value, increases. Similarly, in the same way our stockholder returns increase and decrease based on our stock’s performance, the value to our employees of the RSUs increases and decreases based on our stock’s performance.</w:t>
      </w:r>
    </w:p>
    <w:p>
      <w:pPr>
        <w:spacing w:after="0" w:line="83" w:lineRule="exact"/>
        <w:rPr>
          <w:sz w:val="20"/>
          <w:szCs w:val="20"/>
          <w:color w:val="auto"/>
        </w:rPr>
      </w:pPr>
    </w:p>
    <w:p>
      <w:pPr>
        <w:jc w:val="both"/>
        <w:ind w:right="160" w:firstLine="360"/>
        <w:spacing w:after="0" w:line="266" w:lineRule="auto"/>
        <w:rPr>
          <w:sz w:val="20"/>
          <w:szCs w:val="20"/>
          <w:color w:val="auto"/>
        </w:rPr>
      </w:pPr>
      <w:r>
        <w:rPr>
          <w:rFonts w:ascii="Times New Roman" w:cs="Times New Roman" w:eastAsia="Times New Roman" w:hAnsi="Times New Roman"/>
          <w:sz w:val="18"/>
          <w:szCs w:val="18"/>
          <w:color w:val="auto"/>
        </w:rPr>
        <w:t>We do not tie vesting to the achievement of specific events, such as annual metrics, because we do not want to encourage our employees to deviate from our company objectives, which we believe optimizes sustained stockholder value; nor do we want our employees to take unnecessary risks just to meet a short-term metric.</w:t>
      </w:r>
    </w:p>
    <w:p>
      <w:pPr>
        <w:spacing w:after="0" w:line="68"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The stock option vesting schedule is typically over a four-year period at the rate of 25% at the end of the first year and then at the rate of 2.08% per month for 36 months thereafter during the optionee’s employment. The RSU vesting schedule is typically over a four-year period at the rate of 25% per year. In addition, as further described below, our executive officers must hold shares received upon vesting of their RSUs until they meet certain ownership thresholds or no longer serve the Company. These practices align our employee compensation with our stockholders’ interests because if stockholder value declines over time, so too will the value of the equity compensation provided to all employees. We have historically had low employee turnover, particularly in our management team, and the members of our management have traditionally held their options for a long period of time before exercise. Our low turnover is indicative of our employees’ commitment to Ionis and its technology, and reflects our officers’ belief in the long-term value of our stock.</w:t>
      </w:r>
    </w:p>
    <w:p>
      <w:pPr>
        <w:spacing w:after="0" w:line="79"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Our stock compensation budget minimizes dilution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year the Compensation Committee approves a budget that sets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stock options and RSUs we can grant our employees for annual merit awards. We do not grant options or RSUs that exceed this budget without the Compensation Committee’s approval. Over the past three years, the average merit award stock budget set by the Compensation Committee has been approximately 2.6% of our outstanding common stock on an issued and outstanding basis. This stock compensation budget, and therefore our equity compensation burn rate, is well below the Executive Peer Group average of 3.7% from 2014 through 2016. We believe this stock budget is an important tool to balance our compensation objectives with stockholder interests. For 2017 performance, the Compensation Committee set a merit stock award budget that resulted in approximately 2.4 million stock options and approximately 500,000 RSUs awarded to employees, including the executive officers. Together these shares represent approximately 2.4% of our outstanding common stock on an issued and outstanding basis for that year. This budget, as well as each employee’s position level and performance in the previous year, ultimately determines the size of the individual annual stock grants.</w:t>
      </w:r>
    </w:p>
    <w:p>
      <w:pPr>
        <w:spacing w:after="0" w:line="85" w:lineRule="exact"/>
        <w:rPr>
          <w:sz w:val="20"/>
          <w:szCs w:val="20"/>
          <w:color w:val="auto"/>
        </w:rPr>
      </w:pPr>
    </w:p>
    <w:p>
      <w:pPr>
        <w:ind w:right="260" w:firstLine="3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executive officers and members of our Board of Directors must hold the shares issued under their RSUs until they have met an ownership guideline and all employees must hold shares purchased under our ESPP for six months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7" w:right="11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right="60" w:firstLine="360"/>
        <w:spacing w:after="0" w:line="261" w:lineRule="auto"/>
        <w:rPr>
          <w:sz w:val="20"/>
          <w:szCs w:val="20"/>
          <w:color w:val="auto"/>
        </w:rPr>
      </w:pPr>
      <w:r>
        <w:rPr>
          <w:rFonts w:ascii="Times New Roman" w:cs="Times New Roman" w:eastAsia="Times New Roman" w:hAnsi="Times New Roman"/>
          <w:sz w:val="18"/>
          <w:szCs w:val="18"/>
          <w:color w:val="auto"/>
        </w:rPr>
        <w:t>Our Compensation Committee and our Board set stock ownership and holding guidelines for our executive officers and members of the Board. These guidelines require our executive officers and non-employee Board members to hold the shares they receive under their RSU awards until they achieve the guidelines or no longer serve the Company. Shares sold or surrendered to pay for withholding taxes associated with the RSU awards are exempt from these holding requirements.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table below indicates the stock ownership guidelines for our executive officers and Board members:</w: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4060" w:type="dxa"/>
            <w:vAlign w:val="bottom"/>
            <w:tcBorders>
              <w:top w:val="single" w:sz="8" w:color="auto"/>
              <w:left w:val="single" w:sz="8" w:color="auto"/>
              <w:right w:val="single" w:sz="8" w:color="auto"/>
            </w:tcBorders>
          </w:tcPr>
          <w:p>
            <w:pPr>
              <w:spacing w:after="0"/>
              <w:rPr>
                <w:sz w:val="15"/>
                <w:szCs w:val="15"/>
                <w:color w:val="auto"/>
              </w:rPr>
            </w:pPr>
          </w:p>
        </w:tc>
        <w:tc>
          <w:tcPr>
            <w:tcW w:w="55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Stock Ownership Guideline</w:t>
            </w:r>
          </w:p>
        </w:tc>
      </w:tr>
      <w:tr>
        <w:trPr>
          <w:trHeight w:val="187"/>
        </w:trPr>
        <w:tc>
          <w:tcPr>
            <w:tcW w:w="40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Executive Officer/Director</w:t>
            </w:r>
          </w:p>
        </w:tc>
        <w:tc>
          <w:tcPr>
            <w:tcW w:w="5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(as a multiple of base salary/annual cash retainer)</w:t>
            </w:r>
          </w:p>
        </w:tc>
      </w:tr>
      <w:tr>
        <w:trPr>
          <w:trHeight w:val="232"/>
        </w:trPr>
        <w:tc>
          <w:tcPr>
            <w:tcW w:w="40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CEO</w:t>
            </w:r>
          </w:p>
        </w:tc>
        <w:tc>
          <w:tcPr>
            <w:tcW w:w="5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 times Base Salary</w:t>
            </w:r>
          </w:p>
        </w:tc>
      </w:tr>
      <w:tr>
        <w:trPr>
          <w:trHeight w:val="237"/>
        </w:trPr>
        <w:tc>
          <w:tcPr>
            <w:tcW w:w="40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COO</w:t>
            </w:r>
          </w:p>
        </w:tc>
        <w:tc>
          <w:tcPr>
            <w:tcW w:w="5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 times Base Salary</w:t>
            </w:r>
          </w:p>
        </w:tc>
      </w:tr>
      <w:tr>
        <w:trPr>
          <w:trHeight w:val="237"/>
        </w:trPr>
        <w:tc>
          <w:tcPr>
            <w:tcW w:w="40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 other executive officers</w:t>
            </w:r>
          </w:p>
        </w:tc>
        <w:tc>
          <w:tcPr>
            <w:tcW w:w="5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 times Base Salary</w:t>
            </w:r>
          </w:p>
        </w:tc>
      </w:tr>
      <w:tr>
        <w:trPr>
          <w:trHeight w:val="237"/>
        </w:trPr>
        <w:tc>
          <w:tcPr>
            <w:tcW w:w="40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Non-employee Directors</w:t>
            </w:r>
          </w:p>
        </w:tc>
        <w:tc>
          <w:tcPr>
            <w:tcW w:w="5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 times Base Annual Cash Retainer</w:t>
            </w:r>
          </w:p>
        </w:tc>
      </w:tr>
    </w:tbl>
    <w:p>
      <w:pPr>
        <w:spacing w:after="0" w:line="90" w:lineRule="exact"/>
        <w:rPr>
          <w:sz w:val="20"/>
          <w:szCs w:val="20"/>
          <w:color w:val="auto"/>
        </w:rPr>
      </w:pPr>
    </w:p>
    <w:p>
      <w:pPr>
        <w:ind w:right="540" w:firstLine="360"/>
        <w:spacing w:after="0" w:line="282" w:lineRule="auto"/>
        <w:rPr>
          <w:sz w:val="20"/>
          <w:szCs w:val="20"/>
          <w:color w:val="auto"/>
        </w:rPr>
      </w:pPr>
      <w:r>
        <w:rPr>
          <w:rFonts w:ascii="Times New Roman" w:cs="Times New Roman" w:eastAsia="Times New Roman" w:hAnsi="Times New Roman"/>
          <w:sz w:val="18"/>
          <w:szCs w:val="18"/>
          <w:color w:val="auto"/>
        </w:rPr>
        <w:t>As of March 31, 2018, all of our non-employee Directors and all of our executive officers, except Dr. Monia, meet these guidelines. Due to Dr. Monia’s recent promotion to COO, his holding guideline increased.</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our ESPP has a six month minimum holding period for shares purchased under the ESPP.</w:t>
      </w:r>
    </w:p>
    <w:p>
      <w:pPr>
        <w:spacing w:after="0" w:line="117" w:lineRule="exact"/>
        <w:rPr>
          <w:sz w:val="20"/>
          <w:szCs w:val="20"/>
          <w:color w:val="auto"/>
        </w:rPr>
      </w:pPr>
    </w:p>
    <w:p>
      <w:pPr>
        <w:ind w:right="200" w:firstLine="360"/>
        <w:spacing w:after="0" w:line="282" w:lineRule="auto"/>
        <w:rPr>
          <w:sz w:val="20"/>
          <w:szCs w:val="20"/>
          <w:color w:val="auto"/>
        </w:rPr>
      </w:pPr>
      <w:r>
        <w:rPr>
          <w:rFonts w:ascii="Times New Roman" w:cs="Times New Roman" w:eastAsia="Times New Roman" w:hAnsi="Times New Roman"/>
          <w:sz w:val="18"/>
          <w:szCs w:val="18"/>
          <w:color w:val="auto"/>
        </w:rPr>
        <w:t>Dr. Crooke currently holds approximately 750,000 shares of our common stock and has held most of these shares throughout his over 28-year tenure. As of March 31, 2018, Dr. Crooke’s holding represented over 44 times his Base Salary.</w:t>
      </w:r>
    </w:p>
    <w:p>
      <w:pPr>
        <w:spacing w:after="0" w:line="52" w:lineRule="exact"/>
        <w:rPr>
          <w:sz w:val="20"/>
          <w:szCs w:val="20"/>
          <w:color w:val="auto"/>
        </w:rPr>
      </w:pPr>
    </w:p>
    <w:p>
      <w:pPr>
        <w:ind w:right="200" w:firstLine="3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We have a recoupment/“clawback”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we are required to prepare an accounting restatement due to the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noncompliance of Ionis, as a result of misconduct, with any financial reporting requirement under the securities laws, Ionis’ Chief Executive Officer and Chief Financial Officer must reimburse Ionis for:</w:t>
      </w:r>
    </w:p>
    <w:p>
      <w:pPr>
        <w:spacing w:after="0" w:line="67" w:lineRule="exact"/>
        <w:rPr>
          <w:sz w:val="20"/>
          <w:szCs w:val="20"/>
          <w:color w:val="auto"/>
        </w:rPr>
      </w:pPr>
    </w:p>
    <w:p>
      <w:pPr>
        <w:ind w:left="700" w:right="100" w:hanging="356"/>
        <w:spacing w:after="0" w:line="266" w:lineRule="auto"/>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or other incentive-based or equity-based compensation received by that person from Ionis during the 12-month period following the first public issuance or filing with the SEC (whichever first occurs) of the financial document embodying such financial reporting requirement; and</w:t>
      </w:r>
    </w:p>
    <w:p>
      <w:pPr>
        <w:spacing w:after="0" w:line="68" w:lineRule="exact"/>
        <w:rPr>
          <w:rFonts w:ascii="Times New Roman" w:cs="Times New Roman" w:eastAsia="Times New Roman" w:hAnsi="Times New Roman"/>
          <w:sz w:val="18"/>
          <w:szCs w:val="18"/>
          <w:color w:val="auto"/>
        </w:rPr>
      </w:pPr>
    </w:p>
    <w:p>
      <w:pPr>
        <w:ind w:left="700" w:hanging="356"/>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profits realized from such executive’s sale of Ionis’ securities during that 12-month period.</w:t>
      </w:r>
    </w:p>
    <w:p>
      <w:pPr>
        <w:spacing w:after="0" w:line="117" w:lineRule="exact"/>
        <w:rPr>
          <w:sz w:val="20"/>
          <w:szCs w:val="20"/>
          <w:color w:val="auto"/>
        </w:rPr>
      </w:pPr>
    </w:p>
    <w:p>
      <w:pPr>
        <w:ind w:right="740" w:firstLine="360"/>
        <w:spacing w:after="0" w:line="282" w:lineRule="auto"/>
        <w:rPr>
          <w:sz w:val="20"/>
          <w:szCs w:val="20"/>
          <w:color w:val="auto"/>
        </w:rPr>
      </w:pPr>
      <w:r>
        <w:rPr>
          <w:rFonts w:ascii="Times New Roman" w:cs="Times New Roman" w:eastAsia="Times New Roman" w:hAnsi="Times New Roman"/>
          <w:sz w:val="18"/>
          <w:szCs w:val="18"/>
          <w:color w:val="auto"/>
        </w:rPr>
        <w:t>The SEC may exempt any person from the application of this executive recoupment policy, as it deems necessary and appropriate.</w:t>
      </w:r>
    </w:p>
    <w:p>
      <w:pPr>
        <w:spacing w:after="0" w:line="54"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In addition, if and when the SEC adopts implementing regulations under Section 954, “Recovery of Erroneously Awarded Compensation” under The Dodd-Frank Wall Street Reform and Consumer Protection Act, our Nominating, Governance and Review Committee will promptly adopt appropriate updates to this policy to comport with such implementing regulations.</w:t>
      </w:r>
    </w:p>
    <w:p>
      <w:pPr>
        <w:spacing w:after="0" w:line="66" w:lineRule="exact"/>
        <w:rPr>
          <w:sz w:val="20"/>
          <w:szCs w:val="20"/>
          <w:color w:val="auto"/>
        </w:rPr>
      </w:pPr>
    </w:p>
    <w:p>
      <w:pPr>
        <w:ind w:right="40" w:firstLine="360"/>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We explicitly prohibit employees from “shorting” and hedging against our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help avoid situations in which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may benefit from transactions that harm our stockholders, our policies specifically prohibit all employees, including our executive officers, from taking a “short” position in our stock and otherwise hedging their position in our stock against a future drop in our stock price. In addition, we specifically prohibit all of our employees from trading derivative instruments based on our common stock (e.g. put or call options for our stock).</w:t>
      </w:r>
    </w:p>
    <w:p>
      <w:pPr>
        <w:spacing w:after="0" w:line="72" w:lineRule="exact"/>
        <w:rPr>
          <w:sz w:val="20"/>
          <w:szCs w:val="20"/>
          <w:color w:val="auto"/>
        </w:rPr>
      </w:pPr>
    </w:p>
    <w:p>
      <w:pPr>
        <w:ind w:right="80" w:firstLine="36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10b5-1 plan required for executive officers and vice presidents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a Rule10b5-1 trading program. Our Rule 10b5-1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program allows our executive officers, vice presidents and other employees to establish plans that permit prearranged future sales of his or her stock when there is no material non-public information available. We do not allow our executive officers or vice presidents to buy or sell our stock outside of the Rule 10b5-1 trading program except for purchases of our stock under our ESPP (but not subsequent sales of the stock) and transactions that are automatically effected by Ionis’ stock administrator in connection with the vesting and release of RSUs.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47" w:name="page48"/>
    <w:bookmarkEnd w:id="47"/>
    <w:p>
      <w:pPr>
        <w:jc w:val="center"/>
        <w:ind w:right="7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119" w:lineRule="exact"/>
        <w:rPr>
          <w:sz w:val="20"/>
          <w:szCs w:val="20"/>
          <w:color w:val="auto"/>
        </w:rPr>
      </w:pPr>
    </w:p>
    <w:p>
      <w:pPr>
        <w:ind w:right="160" w:firstLine="360"/>
        <w:spacing w:after="0" w:line="313" w:lineRule="auto"/>
        <w:rPr>
          <w:sz w:val="20"/>
          <w:szCs w:val="20"/>
          <w:color w:val="auto"/>
        </w:rPr>
      </w:pPr>
      <w:r>
        <w:rPr>
          <w:rFonts w:ascii="Times New Roman" w:cs="Times New Roman" w:eastAsia="Times New Roman" w:hAnsi="Times New Roman"/>
          <w:sz w:val="17"/>
          <w:szCs w:val="17"/>
          <w:color w:val="auto"/>
        </w:rPr>
        <w:t>We are committed to using stockholder money responsibly, to building stockholder value and ensuring our processes are entirely transparent. As a result, Ionis’ policies do not provide for perquisites for any employees, including our executive officers.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Retirement &amp; Other Benefits</w:t>
      </w:r>
    </w:p>
    <w:p>
      <w:pPr>
        <w:spacing w:after="0" w:line="11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maintain a highly competitive position with regard to the benefits offered to all regular employees, including our executive officers. These benefits include medical, dental and vision insurance, EAP, basic life insurance, short-term disability/sick pay, long-term disability, vacation, holidays, a 401(k) plan with employer match, an ESPP and Accidental Death &amp; Dismemberment (AD&amp;D) insurance.</w:t>
      </w:r>
    </w:p>
    <w:p>
      <w:pPr>
        <w:spacing w:after="0" w:line="72"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Recognizing that health care costs constitute a greater fraction of disposable income for lower paid employees, we have a progressive contribution premium for our health care benefits, which means the more money an Ionis employee makes, the more he or she contributes to the costs of his or her family’s health care.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Retention and Change of Control Agreements</w:t>
      </w:r>
    </w:p>
    <w:p>
      <w:pPr>
        <w:spacing w:after="0" w:line="119" w:lineRule="exact"/>
        <w:rPr>
          <w:sz w:val="20"/>
          <w:szCs w:val="20"/>
          <w:color w:val="auto"/>
        </w:rPr>
      </w:pPr>
    </w:p>
    <w:p>
      <w:pPr>
        <w:ind w:right="100" w:firstLine="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our normal course of business and as a result of our business strategy, we engage in discussions with other biotechnology and pharmaceutical companies about possible collaborations, licensing and/or other ways in which the companies may work together to further our respective long-term objectives. In addition, many larger established pharmaceutical companies consider companies at similar stages of development to ours as potential acquisition targets. Occasionally, a transaction in the biotech/biopharmaceutical industry may start as a licensing transaction, but ultimately result in an acquisition. In certain scenarios, the potential for merger or being acquired may be in the best interests of our stockholders. As further described on page </w:t>
      </w:r>
      <w:hyperlink w:anchor="page54">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we provide a component of severance compensation for our CEO to promote his ability to act in the best interests of our stockholders even though he could be terminated as a result of the transaction.</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7" w:right="1219" w:bottom="1440" w:gutter="0" w:footer="0" w:header="0"/>
        </w:sectPr>
      </w:pPr>
    </w:p>
    <w:bookmarkStart w:id="48" w:name="page49"/>
    <w:bookmarkEnd w:id="48"/>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121" w:lineRule="exact"/>
        <w:rPr>
          <w:sz w:val="20"/>
          <w:szCs w:val="20"/>
          <w:color w:val="auto"/>
        </w:rPr>
      </w:pPr>
    </w:p>
    <w:p>
      <w:pPr>
        <w:jc w:val="both"/>
        <w:ind w:left="7" w:right="2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fiscal years ended December 31, 2017, 2016, and 2015, compensation awarded to or paid to, or earned by, our Chief Executive Officer, Chief Financial Officer and our three other most highly compensated executive officers at December 31, 2017, called our “named executive officers.”</w:t>
      </w:r>
    </w:p>
    <w:p>
      <w:pPr>
        <w:spacing w:after="0" w:line="1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65" w:lineRule="exact"/>
        <w:rPr>
          <w:sz w:val="20"/>
          <w:szCs w:val="20"/>
          <w:color w:val="auto"/>
        </w:rPr>
      </w:pPr>
    </w:p>
    <w:tbl>
      <w:tblPr>
        <w:tblLayout w:type="fixed"/>
        <w:tblInd w:w="17" w:type="dxa"/>
        <w:tblCellMar>
          <w:top w:w="0" w:type="dxa"/>
          <w:left w:w="0" w:type="dxa"/>
          <w:bottom w:w="0" w:type="dxa"/>
          <w:right w:w="0" w:type="dxa"/>
        </w:tblCellMar>
      </w:tblPr>
      <w:tr>
        <w:trPr>
          <w:trHeight w:val="162"/>
        </w:trPr>
        <w:tc>
          <w:tcPr>
            <w:tcW w:w="1440" w:type="dxa"/>
            <w:vAlign w:val="bottom"/>
            <w:tcBorders>
              <w:top w:val="single" w:sz="8" w:color="auto"/>
              <w:left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spacing w:after="0"/>
              <w:rPr>
                <w:sz w:val="14"/>
                <w:szCs w:val="14"/>
                <w:color w:val="auto"/>
              </w:rPr>
            </w:pPr>
          </w:p>
        </w:tc>
        <w:tc>
          <w:tcPr>
            <w:tcW w:w="640" w:type="dxa"/>
            <w:vAlign w:val="bottom"/>
            <w:tcBorders>
              <w:top w:val="single" w:sz="8" w:color="auto"/>
              <w:right w:val="single" w:sz="8" w:color="auto"/>
            </w:tcBorders>
          </w:tcPr>
          <w:p>
            <w:pPr>
              <w:spacing w:after="0"/>
              <w:rPr>
                <w:sz w:val="14"/>
                <w:szCs w:val="14"/>
                <w:color w:val="auto"/>
              </w:rPr>
            </w:pPr>
          </w:p>
        </w:tc>
        <w:tc>
          <w:tcPr>
            <w:tcW w:w="940" w:type="dxa"/>
            <w:vAlign w:val="bottom"/>
            <w:tcBorders>
              <w:top w:val="single" w:sz="8" w:color="auto"/>
              <w:right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right w:val="single" w:sz="8" w:color="auto"/>
            </w:tcBorders>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9"/>
              </w:rPr>
              <w:t>Bonus</w:t>
            </w:r>
            <w:r>
              <w:rPr>
                <w:rFonts w:ascii="Times New Roman" w:cs="Times New Roman" w:eastAsia="Times New Roman" w:hAnsi="Times New Roman"/>
                <w:sz w:val="24"/>
                <w:szCs w:val="24"/>
                <w:b w:val="1"/>
                <w:bCs w:val="1"/>
                <w:color w:val="auto"/>
                <w:w w:val="99"/>
                <w:vertAlign w:val="superscript"/>
              </w:rPr>
              <w:t>(1)</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44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5"/>
                <w:szCs w:val="15"/>
                <w:color w:val="auto"/>
              </w:rPr>
            </w:pPr>
          </w:p>
        </w:tc>
        <w:tc>
          <w:tcPr>
            <w:tcW w:w="860" w:type="dxa"/>
            <w:vAlign w:val="bottom"/>
            <w:tcBorders>
              <w:right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right w:val="single" w:sz="8" w:color="auto"/>
            </w:tcBorders>
          </w:tcPr>
          <w:p>
            <w:pPr>
              <w:jc w:val="center"/>
              <w:ind w:right="134"/>
              <w:spacing w:after="0" w:line="178"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20"/>
                <w:szCs w:val="20"/>
                <w:b w:val="1"/>
                <w:bCs w:val="1"/>
                <w:color w:val="auto"/>
                <w:vertAlign w:val="superscript"/>
              </w:rPr>
              <w:t>(2)</w:t>
            </w:r>
          </w:p>
        </w:tc>
        <w:tc>
          <w:tcPr>
            <w:tcW w:w="180" w:type="dxa"/>
            <w:vAlign w:val="bottom"/>
          </w:tcPr>
          <w:p>
            <w:pPr>
              <w:spacing w:after="0"/>
              <w:rPr>
                <w:sz w:val="15"/>
                <w:szCs w:val="15"/>
                <w:color w:val="auto"/>
              </w:rPr>
            </w:pPr>
          </w:p>
        </w:tc>
        <w:tc>
          <w:tcPr>
            <w:tcW w:w="860" w:type="dxa"/>
            <w:vAlign w:val="bottom"/>
            <w:tcBorders>
              <w:right w:val="single" w:sz="8" w:color="auto"/>
            </w:tcBorders>
          </w:tcPr>
          <w:p>
            <w:pPr>
              <w:jc w:val="center"/>
              <w:ind w:right="134"/>
              <w:spacing w:after="0" w:line="178"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20"/>
                <w:szCs w:val="20"/>
                <w:b w:val="1"/>
                <w:bCs w:val="1"/>
                <w:color w:val="auto"/>
                <w:vertAlign w:val="superscript"/>
              </w:rPr>
              <w:t>(2)</w:t>
            </w:r>
          </w:p>
        </w:tc>
        <w:tc>
          <w:tcPr>
            <w:tcW w:w="1320" w:type="dxa"/>
            <w:vAlign w:val="bottom"/>
            <w:tcBorders>
              <w:right w:val="single" w:sz="8" w:color="auto"/>
            </w:tcBorders>
            <w:gridSpan w:val="2"/>
          </w:tcPr>
          <w:p>
            <w:pPr>
              <w:jc w:val="center"/>
              <w:spacing w:after="0" w:line="178" w:lineRule="exact"/>
              <w:rPr>
                <w:sz w:val="20"/>
                <w:szCs w:val="20"/>
                <w:color w:val="auto"/>
              </w:rPr>
            </w:pPr>
            <w:r>
              <w:rPr>
                <w:rFonts w:ascii="Times New Roman" w:cs="Times New Roman" w:eastAsia="Times New Roman" w:hAnsi="Times New Roman"/>
                <w:sz w:val="12"/>
                <w:szCs w:val="12"/>
                <w:b w:val="1"/>
                <w:bCs w:val="1"/>
                <w:color w:val="auto"/>
              </w:rPr>
              <w:t>Compensation</w:t>
            </w:r>
            <w:r>
              <w:rPr>
                <w:rFonts w:ascii="Times New Roman" w:cs="Times New Roman" w:eastAsia="Times New Roman" w:hAnsi="Times New Roman"/>
                <w:sz w:val="20"/>
                <w:szCs w:val="20"/>
                <w:b w:val="1"/>
                <w:bCs w:val="1"/>
                <w:color w:val="auto"/>
                <w:vertAlign w:val="superscript"/>
              </w:rPr>
              <w:t>(3)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7"/>
        </w:trPr>
        <w:tc>
          <w:tcPr>
            <w:tcW w:w="25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7"/>
        </w:trPr>
        <w:tc>
          <w:tcPr>
            <w:tcW w:w="2500" w:type="dxa"/>
            <w:vAlign w:val="bottom"/>
            <w:tcBorders>
              <w:left w:val="single" w:sz="8" w:color="auto"/>
              <w:bottom w:val="single" w:sz="8" w:color="CCEEFF"/>
              <w:right w:val="single" w:sz="8" w:color="auto"/>
            </w:tcBorders>
            <w:gridSpan w:val="2"/>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Stanley T. Crooke</w:t>
            </w:r>
          </w:p>
        </w:tc>
        <w:tc>
          <w:tcPr>
            <w:tcW w:w="640" w:type="dxa"/>
            <w:vAlign w:val="bottom"/>
            <w:tcBorders>
              <w:bottom w:val="single" w:sz="8" w:color="CCEEFF"/>
              <w:right w:val="single" w:sz="8" w:color="auto"/>
            </w:tcBorders>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2017</w:t>
            </w:r>
          </w:p>
        </w:tc>
        <w:tc>
          <w:tcPr>
            <w:tcW w:w="940" w:type="dxa"/>
            <w:vAlign w:val="bottom"/>
            <w:tcBorders>
              <w:bottom w:val="single" w:sz="8" w:color="CCEEFF"/>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$ 849,271</w:t>
            </w:r>
          </w:p>
        </w:tc>
        <w:tc>
          <w:tcPr>
            <w:tcW w:w="18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99"/>
              </w:rPr>
              <w:t>1,006,068</w:t>
            </w:r>
          </w:p>
        </w:tc>
        <w:tc>
          <w:tcPr>
            <w:tcW w:w="18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34"/>
              <w:spacing w:after="0" w:line="205" w:lineRule="exact"/>
              <w:rPr>
                <w:sz w:val="20"/>
                <w:szCs w:val="20"/>
                <w:color w:val="auto"/>
              </w:rPr>
            </w:pPr>
            <w:r>
              <w:rPr>
                <w:rFonts w:ascii="Times New Roman" w:cs="Times New Roman" w:eastAsia="Times New Roman" w:hAnsi="Times New Roman"/>
                <w:sz w:val="18"/>
                <w:szCs w:val="18"/>
                <w:color w:val="auto"/>
                <w:w w:val="99"/>
              </w:rPr>
              <w:t>1,306,509</w:t>
            </w:r>
          </w:p>
        </w:tc>
        <w:tc>
          <w:tcPr>
            <w:tcW w:w="18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34"/>
              <w:spacing w:after="0" w:line="205" w:lineRule="exact"/>
              <w:rPr>
                <w:sz w:val="20"/>
                <w:szCs w:val="20"/>
                <w:color w:val="auto"/>
              </w:rPr>
            </w:pPr>
            <w:r>
              <w:rPr>
                <w:rFonts w:ascii="Times New Roman" w:cs="Times New Roman" w:eastAsia="Times New Roman" w:hAnsi="Times New Roman"/>
                <w:sz w:val="18"/>
                <w:szCs w:val="18"/>
                <w:color w:val="auto"/>
                <w:w w:val="99"/>
              </w:rPr>
              <w:t>4,113,250</w:t>
            </w:r>
          </w:p>
        </w:tc>
        <w:tc>
          <w:tcPr>
            <w:tcW w:w="260" w:type="dxa"/>
            <w:vAlign w:val="bottom"/>
            <w:tcBorders>
              <w:bottom w:val="single" w:sz="8" w:color="CCEEFF"/>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39,554</w:t>
            </w:r>
          </w:p>
        </w:tc>
        <w:tc>
          <w:tcPr>
            <w:tcW w:w="1040" w:type="dxa"/>
            <w:vAlign w:val="bottom"/>
            <w:tcBorders>
              <w:bottom w:val="single" w:sz="8" w:color="CCEEFF"/>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$ 7,314,652</w:t>
            </w: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bottom w:val="single" w:sz="8" w:color="CCEEFF"/>
              <w:right w:val="single" w:sz="8" w:color="auto"/>
            </w:tcBorders>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Chairman, President, Chief</w:t>
            </w:r>
          </w:p>
        </w:tc>
        <w:tc>
          <w:tcPr>
            <w:tcW w:w="640" w:type="dxa"/>
            <w:vAlign w:val="bottom"/>
            <w:tcBorders>
              <w:bottom w:val="single" w:sz="8" w:color="CCEDFF"/>
              <w:right w:val="single" w:sz="8" w:color="auto"/>
            </w:tcBorders>
            <w:shd w:val="clear" w:color="auto" w:fill="CCEDFF"/>
          </w:tcPr>
          <w:p>
            <w:pPr>
              <w:ind w:left="160"/>
              <w:spacing w:after="0" w:line="184" w:lineRule="exact"/>
              <w:rPr>
                <w:sz w:val="20"/>
                <w:szCs w:val="20"/>
                <w:color w:val="auto"/>
              </w:rPr>
            </w:pPr>
            <w:r>
              <w:rPr>
                <w:rFonts w:ascii="Times New Roman" w:cs="Times New Roman" w:eastAsia="Times New Roman" w:hAnsi="Times New Roman"/>
                <w:sz w:val="18"/>
                <w:szCs w:val="18"/>
                <w:color w:val="auto"/>
              </w:rPr>
              <w:t>2016</w:t>
            </w:r>
          </w:p>
        </w:tc>
        <w:tc>
          <w:tcPr>
            <w:tcW w:w="940" w:type="dxa"/>
            <w:vAlign w:val="bottom"/>
            <w:tcBorders>
              <w:bottom w:val="single" w:sz="8" w:color="CCEDFF"/>
              <w:right w:val="single" w:sz="8" w:color="auto"/>
            </w:tcBorders>
            <w:shd w:val="clear" w:color="auto" w:fill="CCEDFF"/>
          </w:tcPr>
          <w:p>
            <w:pPr>
              <w:jc w:val="center"/>
              <w:spacing w:after="0" w:line="184" w:lineRule="exact"/>
              <w:rPr>
                <w:sz w:val="20"/>
                <w:szCs w:val="20"/>
                <w:color w:val="auto"/>
              </w:rPr>
            </w:pPr>
            <w:r>
              <w:rPr>
                <w:rFonts w:ascii="Times New Roman" w:cs="Times New Roman" w:eastAsia="Times New Roman" w:hAnsi="Times New Roman"/>
                <w:sz w:val="18"/>
                <w:szCs w:val="18"/>
                <w:color w:val="auto"/>
              </w:rPr>
              <w:t>$ 824,535</w:t>
            </w:r>
          </w:p>
        </w:tc>
        <w:tc>
          <w:tcPr>
            <w:tcW w:w="180" w:type="dxa"/>
            <w:vAlign w:val="bottom"/>
            <w:tcBorders>
              <w:bottom w:val="single" w:sz="8" w:color="CCEDFF"/>
            </w:tcBorders>
            <w:shd w:val="clear" w:color="auto" w:fill="CCED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DFF"/>
              <w:right w:val="single" w:sz="8" w:color="auto"/>
            </w:tcBorders>
            <w:shd w:val="clear" w:color="auto" w:fill="CCED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w w:val="99"/>
              </w:rPr>
              <w:t>1,205,882</w:t>
            </w:r>
          </w:p>
        </w:tc>
        <w:tc>
          <w:tcPr>
            <w:tcW w:w="180" w:type="dxa"/>
            <w:vAlign w:val="bottom"/>
            <w:tcBorders>
              <w:bottom w:val="single" w:sz="8" w:color="CCEDFF"/>
            </w:tcBorders>
            <w:shd w:val="clear" w:color="auto" w:fill="CCED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DFF"/>
              <w:right w:val="single" w:sz="8" w:color="auto"/>
            </w:tcBorders>
            <w:shd w:val="clear" w:color="auto" w:fill="CCEDFF"/>
          </w:tcPr>
          <w:p>
            <w:pPr>
              <w:jc w:val="right"/>
              <w:ind w:right="34"/>
              <w:spacing w:after="0" w:line="184" w:lineRule="exact"/>
              <w:rPr>
                <w:sz w:val="20"/>
                <w:szCs w:val="20"/>
                <w:color w:val="auto"/>
              </w:rPr>
            </w:pPr>
            <w:r>
              <w:rPr>
                <w:rFonts w:ascii="Times New Roman" w:cs="Times New Roman" w:eastAsia="Times New Roman" w:hAnsi="Times New Roman"/>
                <w:sz w:val="18"/>
                <w:szCs w:val="18"/>
                <w:color w:val="auto"/>
                <w:w w:val="99"/>
              </w:rPr>
              <w:t>1,427,416</w:t>
            </w:r>
          </w:p>
        </w:tc>
        <w:tc>
          <w:tcPr>
            <w:tcW w:w="180" w:type="dxa"/>
            <w:vAlign w:val="bottom"/>
            <w:tcBorders>
              <w:bottom w:val="single" w:sz="8" w:color="CCEDFF"/>
            </w:tcBorders>
            <w:shd w:val="clear" w:color="auto" w:fill="CCED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DFF"/>
              <w:right w:val="single" w:sz="8" w:color="auto"/>
            </w:tcBorders>
            <w:shd w:val="clear" w:color="auto" w:fill="CCEDFF"/>
          </w:tcPr>
          <w:p>
            <w:pPr>
              <w:jc w:val="right"/>
              <w:ind w:right="34"/>
              <w:spacing w:after="0" w:line="184" w:lineRule="exact"/>
              <w:rPr>
                <w:sz w:val="20"/>
                <w:szCs w:val="20"/>
                <w:color w:val="auto"/>
              </w:rPr>
            </w:pPr>
            <w:r>
              <w:rPr>
                <w:rFonts w:ascii="Times New Roman" w:cs="Times New Roman" w:eastAsia="Times New Roman" w:hAnsi="Times New Roman"/>
                <w:sz w:val="18"/>
                <w:szCs w:val="18"/>
                <w:color w:val="auto"/>
                <w:w w:val="99"/>
              </w:rPr>
              <w:t>5,705,552</w:t>
            </w:r>
          </w:p>
        </w:tc>
        <w:tc>
          <w:tcPr>
            <w:tcW w:w="260" w:type="dxa"/>
            <w:vAlign w:val="bottom"/>
            <w:tcBorders>
              <w:bottom w:val="single" w:sz="8" w:color="CCEDFF"/>
            </w:tcBorders>
            <w:shd w:val="clear" w:color="auto" w:fill="CCEDFF"/>
          </w:tcPr>
          <w:p>
            <w:pPr>
              <w:jc w:val="right"/>
              <w:ind w:right="1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DFF"/>
              <w:right w:val="single" w:sz="8" w:color="auto"/>
            </w:tcBorders>
            <w:shd w:val="clear" w:color="auto" w:fill="CCED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25,366</w:t>
            </w:r>
          </w:p>
        </w:tc>
        <w:tc>
          <w:tcPr>
            <w:tcW w:w="1040" w:type="dxa"/>
            <w:vAlign w:val="bottom"/>
            <w:tcBorders>
              <w:bottom w:val="single" w:sz="8" w:color="CCEDFF"/>
              <w:right w:val="single" w:sz="8" w:color="auto"/>
            </w:tcBorders>
            <w:shd w:val="clear" w:color="auto" w:fill="CCED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$ 9,188,751</w:t>
            </w:r>
          </w:p>
        </w:tc>
        <w:tc>
          <w:tcPr>
            <w:tcW w:w="0" w:type="dxa"/>
            <w:vAlign w:val="bottom"/>
          </w:tcPr>
          <w:p>
            <w:pPr>
              <w:spacing w:after="0"/>
              <w:rPr>
                <w:sz w:val="1"/>
                <w:szCs w:val="1"/>
                <w:color w:val="auto"/>
              </w:rPr>
            </w:pPr>
          </w:p>
        </w:tc>
      </w:tr>
      <w:tr>
        <w:trPr>
          <w:trHeight w:val="239"/>
        </w:trPr>
        <w:tc>
          <w:tcPr>
            <w:tcW w:w="2500" w:type="dxa"/>
            <w:vAlign w:val="bottom"/>
            <w:tcBorders>
              <w:left w:val="single" w:sz="8" w:color="auto"/>
              <w:bottom w:val="single" w:sz="8" w:color="auto"/>
              <w:right w:val="single" w:sz="8" w:color="auto"/>
            </w:tcBorders>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Executive Officer</w:t>
            </w:r>
          </w:p>
        </w:tc>
        <w:tc>
          <w:tcPr>
            <w:tcW w:w="64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2015</w:t>
            </w:r>
          </w:p>
        </w:tc>
        <w:tc>
          <w:tcPr>
            <w:tcW w:w="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$ 800,519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749,286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9"/>
              </w:rPr>
              <w:t>1,893,100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9"/>
              </w:rPr>
              <w:t>4,517,593</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20,526</w:t>
            </w:r>
          </w:p>
        </w:tc>
        <w:tc>
          <w:tcPr>
            <w:tcW w:w="1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$ 7,981,025</w:t>
            </w:r>
          </w:p>
        </w:tc>
        <w:tc>
          <w:tcPr>
            <w:tcW w:w="0" w:type="dxa"/>
            <w:vAlign w:val="bottom"/>
          </w:tcPr>
          <w:p>
            <w:pPr>
              <w:spacing w:after="0"/>
              <w:rPr>
                <w:sz w:val="1"/>
                <w:szCs w:val="1"/>
                <w:color w:val="auto"/>
              </w:rPr>
            </w:pPr>
          </w:p>
        </w:tc>
      </w:tr>
      <w:tr>
        <w:trPr>
          <w:trHeight w:val="209"/>
        </w:trPr>
        <w:tc>
          <w:tcPr>
            <w:tcW w:w="25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Elizabeth L. Hougen</w:t>
            </w:r>
          </w:p>
        </w:tc>
        <w:tc>
          <w:tcPr>
            <w:tcW w:w="6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2017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$ 425,224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264,064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362,454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99"/>
              </w:rPr>
              <w:t>1,141,147</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38,887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$ 2,231,776</w:t>
            </w:r>
          </w:p>
        </w:tc>
        <w:tc>
          <w:tcPr>
            <w:tcW w:w="0" w:type="dxa"/>
            <w:vAlign w:val="bottom"/>
          </w:tcPr>
          <w:p>
            <w:pPr>
              <w:spacing w:after="0"/>
              <w:rPr>
                <w:sz w:val="1"/>
                <w:szCs w:val="1"/>
                <w:color w:val="auto"/>
              </w:rPr>
            </w:pPr>
          </w:p>
        </w:tc>
      </w:tr>
      <w:tr>
        <w:trPr>
          <w:trHeight w:val="32"/>
        </w:trPr>
        <w:tc>
          <w:tcPr>
            <w:tcW w:w="2500" w:type="dxa"/>
            <w:vAlign w:val="bottom"/>
            <w:tcBorders>
              <w:left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Senior Vice President, Finance</w:t>
            </w:r>
          </w:p>
        </w:tc>
        <w:tc>
          <w:tcPr>
            <w:tcW w:w="64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tcBorders>
              <w:left w:val="single" w:sz="8" w:color="auto"/>
              <w:right w:val="single" w:sz="8" w:color="auto"/>
            </w:tcBorders>
            <w:gridSpan w:val="2"/>
            <w:vMerge w:val="continue"/>
          </w:tcPr>
          <w:p>
            <w:pPr>
              <w:spacing w:after="0"/>
              <w:rPr>
                <w:sz w:val="19"/>
                <w:szCs w:val="19"/>
                <w:color w:val="auto"/>
              </w:rPr>
            </w:pPr>
          </w:p>
        </w:tc>
        <w:tc>
          <w:tcPr>
            <w:tcW w:w="640" w:type="dxa"/>
            <w:vAlign w:val="bottom"/>
            <w:tcBorders>
              <w:bottom w:val="single" w:sz="8" w:color="CCEEFF"/>
              <w:right w:val="single" w:sz="8" w:color="auto"/>
            </w:tcBorders>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2016</w:t>
            </w:r>
          </w:p>
        </w:tc>
        <w:tc>
          <w:tcPr>
            <w:tcW w:w="940" w:type="dxa"/>
            <w:vAlign w:val="bottom"/>
            <w:tcBorders>
              <w:bottom w:val="single" w:sz="8" w:color="CCEEFF"/>
              <w:right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$ 412,839</w:t>
            </w:r>
          </w:p>
        </w:tc>
        <w:tc>
          <w:tcPr>
            <w:tcW w:w="180" w:type="dxa"/>
            <w:vAlign w:val="bottom"/>
            <w:tcBorders>
              <w:bottom w:val="single" w:sz="8" w:color="CCEEFF"/>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297,244</w:t>
            </w:r>
          </w:p>
        </w:tc>
        <w:tc>
          <w:tcPr>
            <w:tcW w:w="180" w:type="dxa"/>
            <w:vAlign w:val="bottom"/>
            <w:tcBorders>
              <w:bottom w:val="single" w:sz="8" w:color="CCEEFF"/>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34"/>
              <w:spacing w:after="0" w:line="184" w:lineRule="exact"/>
              <w:rPr>
                <w:sz w:val="20"/>
                <w:szCs w:val="20"/>
                <w:color w:val="auto"/>
              </w:rPr>
            </w:pPr>
            <w:r>
              <w:rPr>
                <w:rFonts w:ascii="Times New Roman" w:cs="Times New Roman" w:eastAsia="Times New Roman" w:hAnsi="Times New Roman"/>
                <w:sz w:val="18"/>
                <w:szCs w:val="18"/>
                <w:color w:val="auto"/>
              </w:rPr>
              <w:t>279,647</w:t>
            </w:r>
          </w:p>
        </w:tc>
        <w:tc>
          <w:tcPr>
            <w:tcW w:w="180" w:type="dxa"/>
            <w:vAlign w:val="bottom"/>
            <w:tcBorders>
              <w:bottom w:val="single" w:sz="8" w:color="CCEEFF"/>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34"/>
              <w:spacing w:after="0" w:line="184" w:lineRule="exact"/>
              <w:rPr>
                <w:sz w:val="20"/>
                <w:szCs w:val="20"/>
                <w:color w:val="auto"/>
              </w:rPr>
            </w:pPr>
            <w:r>
              <w:rPr>
                <w:rFonts w:ascii="Times New Roman" w:cs="Times New Roman" w:eastAsia="Times New Roman" w:hAnsi="Times New Roman"/>
                <w:sz w:val="18"/>
                <w:szCs w:val="18"/>
                <w:color w:val="auto"/>
                <w:w w:val="99"/>
              </w:rPr>
              <w:t>1,117,834</w:t>
            </w:r>
          </w:p>
        </w:tc>
        <w:tc>
          <w:tcPr>
            <w:tcW w:w="260" w:type="dxa"/>
            <w:vAlign w:val="bottom"/>
            <w:tcBorders>
              <w:bottom w:val="single" w:sz="8" w:color="CCEEFF"/>
            </w:tcBorders>
            <w:shd w:val="clear" w:color="auto" w:fill="CCEEFF"/>
          </w:tcPr>
          <w:p>
            <w:pPr>
              <w:jc w:val="right"/>
              <w:ind w:right="1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25,670</w:t>
            </w:r>
          </w:p>
        </w:tc>
        <w:tc>
          <w:tcPr>
            <w:tcW w:w="1040" w:type="dxa"/>
            <w:vAlign w:val="bottom"/>
            <w:tcBorders>
              <w:bottom w:val="single" w:sz="8" w:color="CCEEFF"/>
              <w:right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$ 2,133,234</w:t>
            </w:r>
          </w:p>
        </w:tc>
        <w:tc>
          <w:tcPr>
            <w:tcW w:w="0" w:type="dxa"/>
            <w:vAlign w:val="bottom"/>
          </w:tcPr>
          <w:p>
            <w:pPr>
              <w:spacing w:after="0"/>
              <w:rPr>
                <w:sz w:val="1"/>
                <w:szCs w:val="1"/>
                <w:color w:val="auto"/>
              </w:rPr>
            </w:pPr>
          </w:p>
        </w:tc>
      </w:tr>
      <w:tr>
        <w:trPr>
          <w:trHeight w:val="239"/>
        </w:trPr>
        <w:tc>
          <w:tcPr>
            <w:tcW w:w="2500" w:type="dxa"/>
            <w:vAlign w:val="bottom"/>
            <w:tcBorders>
              <w:left w:val="single" w:sz="8" w:color="auto"/>
              <w:bottom w:val="single" w:sz="8" w:color="auto"/>
              <w:right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and Chief Financial Officer</w:t>
            </w:r>
          </w:p>
        </w:tc>
        <w:tc>
          <w:tcPr>
            <w:tcW w:w="6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2015</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$ 391,906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225,738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379,859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906,589</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25,782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$ 1,929,873</w:t>
            </w:r>
          </w:p>
        </w:tc>
        <w:tc>
          <w:tcPr>
            <w:tcW w:w="0" w:type="dxa"/>
            <w:vAlign w:val="bottom"/>
          </w:tcPr>
          <w:p>
            <w:pPr>
              <w:spacing w:after="0"/>
              <w:rPr>
                <w:sz w:val="1"/>
                <w:szCs w:val="1"/>
                <w:color w:val="auto"/>
              </w:rPr>
            </w:pPr>
          </w:p>
        </w:tc>
      </w:tr>
      <w:tr>
        <w:trPr>
          <w:trHeight w:val="221"/>
        </w:trPr>
        <w:tc>
          <w:tcPr>
            <w:tcW w:w="2500" w:type="dxa"/>
            <w:vAlign w:val="bottom"/>
            <w:tcBorders>
              <w:left w:val="single" w:sz="8" w:color="auto"/>
              <w:bottom w:val="single" w:sz="8" w:color="CCEEFF"/>
              <w:right w:val="single" w:sz="8" w:color="auto"/>
            </w:tcBorders>
            <w:gridSpan w:val="2"/>
            <w:shd w:val="clear" w:color="auto" w:fill="CCEEFF"/>
          </w:tcPr>
          <w:p>
            <w:pPr>
              <w:ind w:left="40"/>
              <w:spacing w:after="0" w:line="209" w:lineRule="exact"/>
              <w:rPr>
                <w:sz w:val="20"/>
                <w:szCs w:val="20"/>
                <w:color w:val="auto"/>
              </w:rPr>
            </w:pPr>
            <w:r>
              <w:rPr>
                <w:rFonts w:ascii="Times New Roman" w:cs="Times New Roman" w:eastAsia="Times New Roman" w:hAnsi="Times New Roman"/>
                <w:sz w:val="15"/>
                <w:szCs w:val="15"/>
                <w:color w:val="auto"/>
              </w:rPr>
              <w:t>B. Lynne Parshall</w:t>
            </w:r>
            <w:r>
              <w:rPr>
                <w:rFonts w:ascii="Times New Roman" w:cs="Times New Roman" w:eastAsia="Times New Roman" w:hAnsi="Times New Roman"/>
                <w:sz w:val="24"/>
                <w:szCs w:val="24"/>
                <w:color w:val="auto"/>
                <w:vertAlign w:val="superscript"/>
              </w:rPr>
              <w:t>(4)</w:t>
            </w:r>
          </w:p>
        </w:tc>
        <w:tc>
          <w:tcPr>
            <w:tcW w:w="640" w:type="dxa"/>
            <w:vAlign w:val="bottom"/>
            <w:tcBorders>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2017</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$ 734,056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668,909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942,853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9"/>
              </w:rPr>
              <w:t>2,968,317</w:t>
            </w:r>
          </w:p>
        </w:tc>
        <w:tc>
          <w:tcPr>
            <w:tcW w:w="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45,902</w:t>
            </w:r>
          </w:p>
        </w:tc>
        <w:tc>
          <w:tcPr>
            <w:tcW w:w="10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$ 5,360,037</w:t>
            </w: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bottom w:val="single" w:sz="8" w:color="CCEEFF"/>
              <w:right w:val="single" w:sz="8" w:color="auto"/>
            </w:tcBorders>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Director, Former Chief</w:t>
            </w:r>
          </w:p>
        </w:tc>
        <w:tc>
          <w:tcPr>
            <w:tcW w:w="640" w:type="dxa"/>
            <w:vAlign w:val="bottom"/>
            <w:tcBorders>
              <w:bottom w:val="single" w:sz="8" w:color="CCEDFF"/>
              <w:right w:val="single" w:sz="8" w:color="auto"/>
            </w:tcBorders>
            <w:shd w:val="clear" w:color="auto" w:fill="CCEDFF"/>
          </w:tcPr>
          <w:p>
            <w:pPr>
              <w:ind w:left="160"/>
              <w:spacing w:after="0" w:line="184" w:lineRule="exact"/>
              <w:rPr>
                <w:sz w:val="20"/>
                <w:szCs w:val="20"/>
                <w:color w:val="auto"/>
              </w:rPr>
            </w:pPr>
            <w:r>
              <w:rPr>
                <w:rFonts w:ascii="Times New Roman" w:cs="Times New Roman" w:eastAsia="Times New Roman" w:hAnsi="Times New Roman"/>
                <w:sz w:val="18"/>
                <w:szCs w:val="18"/>
                <w:color w:val="auto"/>
              </w:rPr>
              <w:t>2016</w:t>
            </w:r>
          </w:p>
        </w:tc>
        <w:tc>
          <w:tcPr>
            <w:tcW w:w="940" w:type="dxa"/>
            <w:vAlign w:val="bottom"/>
            <w:tcBorders>
              <w:bottom w:val="single" w:sz="8" w:color="CCEDFF"/>
              <w:right w:val="single" w:sz="8" w:color="auto"/>
            </w:tcBorders>
            <w:shd w:val="clear" w:color="auto" w:fill="CCEDFF"/>
          </w:tcPr>
          <w:p>
            <w:pPr>
              <w:jc w:val="center"/>
              <w:spacing w:after="0" w:line="184" w:lineRule="exact"/>
              <w:rPr>
                <w:sz w:val="20"/>
                <w:szCs w:val="20"/>
                <w:color w:val="auto"/>
              </w:rPr>
            </w:pPr>
            <w:r>
              <w:rPr>
                <w:rFonts w:ascii="Times New Roman" w:cs="Times New Roman" w:eastAsia="Times New Roman" w:hAnsi="Times New Roman"/>
                <w:sz w:val="18"/>
                <w:szCs w:val="18"/>
                <w:color w:val="auto"/>
              </w:rPr>
              <w:t>$ 712,676</w:t>
            </w:r>
          </w:p>
        </w:tc>
        <w:tc>
          <w:tcPr>
            <w:tcW w:w="180" w:type="dxa"/>
            <w:vAlign w:val="bottom"/>
            <w:tcBorders>
              <w:bottom w:val="single" w:sz="8" w:color="CCEDFF"/>
            </w:tcBorders>
            <w:shd w:val="clear" w:color="auto" w:fill="CCED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DFF"/>
              <w:right w:val="single" w:sz="8" w:color="auto"/>
            </w:tcBorders>
            <w:shd w:val="clear" w:color="auto" w:fill="CCED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801,761</w:t>
            </w:r>
          </w:p>
        </w:tc>
        <w:tc>
          <w:tcPr>
            <w:tcW w:w="180" w:type="dxa"/>
            <w:vAlign w:val="bottom"/>
            <w:tcBorders>
              <w:bottom w:val="single" w:sz="8" w:color="CCEDFF"/>
            </w:tcBorders>
            <w:shd w:val="clear" w:color="auto" w:fill="CCED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DFF"/>
              <w:right w:val="single" w:sz="8" w:color="auto"/>
            </w:tcBorders>
            <w:shd w:val="clear" w:color="auto" w:fill="CCEDFF"/>
          </w:tcPr>
          <w:p>
            <w:pPr>
              <w:jc w:val="right"/>
              <w:ind w:right="34"/>
              <w:spacing w:after="0" w:line="184" w:lineRule="exact"/>
              <w:rPr>
                <w:sz w:val="20"/>
                <w:szCs w:val="20"/>
                <w:color w:val="auto"/>
              </w:rPr>
            </w:pPr>
            <w:r>
              <w:rPr>
                <w:rFonts w:ascii="Times New Roman" w:cs="Times New Roman" w:eastAsia="Times New Roman" w:hAnsi="Times New Roman"/>
                <w:sz w:val="18"/>
                <w:szCs w:val="18"/>
                <w:color w:val="auto"/>
              </w:rPr>
              <w:t>786,549</w:t>
            </w:r>
          </w:p>
        </w:tc>
        <w:tc>
          <w:tcPr>
            <w:tcW w:w="180" w:type="dxa"/>
            <w:vAlign w:val="bottom"/>
            <w:tcBorders>
              <w:bottom w:val="single" w:sz="8" w:color="CCEDFF"/>
            </w:tcBorders>
            <w:shd w:val="clear" w:color="auto" w:fill="CCED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DFF"/>
              <w:right w:val="single" w:sz="8" w:color="auto"/>
            </w:tcBorders>
            <w:shd w:val="clear" w:color="auto" w:fill="CCEDFF"/>
          </w:tcPr>
          <w:p>
            <w:pPr>
              <w:jc w:val="right"/>
              <w:ind w:right="34"/>
              <w:spacing w:after="0" w:line="184" w:lineRule="exact"/>
              <w:rPr>
                <w:sz w:val="20"/>
                <w:szCs w:val="20"/>
                <w:color w:val="auto"/>
              </w:rPr>
            </w:pPr>
            <w:r>
              <w:rPr>
                <w:rFonts w:ascii="Times New Roman" w:cs="Times New Roman" w:eastAsia="Times New Roman" w:hAnsi="Times New Roman"/>
                <w:sz w:val="18"/>
                <w:szCs w:val="18"/>
                <w:color w:val="auto"/>
                <w:w w:val="99"/>
              </w:rPr>
              <w:t>3,143,869</w:t>
            </w:r>
          </w:p>
        </w:tc>
        <w:tc>
          <w:tcPr>
            <w:tcW w:w="260" w:type="dxa"/>
            <w:vAlign w:val="bottom"/>
            <w:tcBorders>
              <w:bottom w:val="single" w:sz="8" w:color="CCEDFF"/>
            </w:tcBorders>
            <w:shd w:val="clear" w:color="auto" w:fill="CCEDFF"/>
          </w:tcPr>
          <w:p>
            <w:pPr>
              <w:jc w:val="right"/>
              <w:ind w:right="1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DFF"/>
              <w:right w:val="single" w:sz="8" w:color="auto"/>
            </w:tcBorders>
            <w:shd w:val="clear" w:color="auto" w:fill="CCED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29,773</w:t>
            </w:r>
          </w:p>
        </w:tc>
        <w:tc>
          <w:tcPr>
            <w:tcW w:w="1040" w:type="dxa"/>
            <w:vAlign w:val="bottom"/>
            <w:tcBorders>
              <w:bottom w:val="single" w:sz="8" w:color="CCEDFF"/>
              <w:right w:val="single" w:sz="8" w:color="auto"/>
            </w:tcBorders>
            <w:shd w:val="clear" w:color="auto" w:fill="CCED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$ 5,474,628</w:t>
            </w:r>
          </w:p>
        </w:tc>
        <w:tc>
          <w:tcPr>
            <w:tcW w:w="0" w:type="dxa"/>
            <w:vAlign w:val="bottom"/>
          </w:tcPr>
          <w:p>
            <w:pPr>
              <w:spacing w:after="0"/>
              <w:rPr>
                <w:sz w:val="1"/>
                <w:szCs w:val="1"/>
                <w:color w:val="auto"/>
              </w:rPr>
            </w:pPr>
          </w:p>
        </w:tc>
      </w:tr>
      <w:tr>
        <w:trPr>
          <w:trHeight w:val="239"/>
        </w:trPr>
        <w:tc>
          <w:tcPr>
            <w:tcW w:w="2500" w:type="dxa"/>
            <w:vAlign w:val="bottom"/>
            <w:tcBorders>
              <w:left w:val="single" w:sz="8" w:color="auto"/>
              <w:bottom w:val="single" w:sz="8" w:color="auto"/>
              <w:right w:val="single" w:sz="8" w:color="auto"/>
            </w:tcBorders>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Operating Officer</w:t>
            </w:r>
          </w:p>
        </w:tc>
        <w:tc>
          <w:tcPr>
            <w:tcW w:w="64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2015</w:t>
            </w:r>
          </w:p>
        </w:tc>
        <w:tc>
          <w:tcPr>
            <w:tcW w:w="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$ 691,918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498,181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9"/>
              </w:rPr>
              <w:t>1,519,712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9"/>
              </w:rPr>
              <w:t>3,626,610</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24,963</w:t>
            </w:r>
          </w:p>
        </w:tc>
        <w:tc>
          <w:tcPr>
            <w:tcW w:w="1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$ 6,361,384</w:t>
            </w:r>
          </w:p>
        </w:tc>
        <w:tc>
          <w:tcPr>
            <w:tcW w:w="0" w:type="dxa"/>
            <w:vAlign w:val="bottom"/>
          </w:tcPr>
          <w:p>
            <w:pPr>
              <w:spacing w:after="0"/>
              <w:rPr>
                <w:sz w:val="1"/>
                <w:szCs w:val="1"/>
                <w:color w:val="auto"/>
              </w:rPr>
            </w:pPr>
          </w:p>
        </w:tc>
      </w:tr>
      <w:tr>
        <w:trPr>
          <w:trHeight w:val="209"/>
        </w:trPr>
        <w:tc>
          <w:tcPr>
            <w:tcW w:w="2500" w:type="dxa"/>
            <w:vAlign w:val="bottom"/>
            <w:tcBorders>
              <w:left w:val="single" w:sz="8" w:color="auto"/>
              <w:right w:val="single" w:sz="8" w:color="auto"/>
            </w:tcBorders>
            <w:gridSpan w:val="2"/>
          </w:tcPr>
          <w:p>
            <w:pPr>
              <w:ind w:left="40"/>
              <w:spacing w:after="0" w:line="209" w:lineRule="exact"/>
              <w:rPr>
                <w:sz w:val="20"/>
                <w:szCs w:val="20"/>
                <w:color w:val="auto"/>
              </w:rPr>
            </w:pPr>
            <w:r>
              <w:rPr>
                <w:rFonts w:ascii="Times New Roman" w:cs="Times New Roman" w:eastAsia="Times New Roman" w:hAnsi="Times New Roman"/>
                <w:sz w:val="15"/>
                <w:szCs w:val="15"/>
                <w:color w:val="auto"/>
              </w:rPr>
              <w:t>Brett Monia</w:t>
            </w:r>
            <w:r>
              <w:rPr>
                <w:rFonts w:ascii="Times New Roman" w:cs="Times New Roman" w:eastAsia="Times New Roman" w:hAnsi="Times New Roman"/>
                <w:sz w:val="24"/>
                <w:szCs w:val="24"/>
                <w:color w:val="auto"/>
                <w:vertAlign w:val="superscript"/>
              </w:rPr>
              <w:t>(4)</w:t>
            </w:r>
          </w:p>
        </w:tc>
        <w:tc>
          <w:tcPr>
            <w:tcW w:w="6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2017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$ 443,480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335,271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384,720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99"/>
              </w:rPr>
              <w:t>1,211,167</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38,254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$ 2,412,892</w:t>
            </w:r>
          </w:p>
        </w:tc>
        <w:tc>
          <w:tcPr>
            <w:tcW w:w="0" w:type="dxa"/>
            <w:vAlign w:val="bottom"/>
          </w:tcPr>
          <w:p>
            <w:pPr>
              <w:spacing w:after="0"/>
              <w:rPr>
                <w:sz w:val="1"/>
                <w:szCs w:val="1"/>
                <w:color w:val="auto"/>
              </w:rPr>
            </w:pPr>
          </w:p>
        </w:tc>
      </w:tr>
      <w:tr>
        <w:trPr>
          <w:trHeight w:val="153"/>
        </w:trPr>
        <w:tc>
          <w:tcPr>
            <w:tcW w:w="2500" w:type="dxa"/>
            <w:vAlign w:val="bottom"/>
            <w:tcBorders>
              <w:left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Chief Operating Officer and</w:t>
            </w:r>
          </w:p>
        </w:tc>
        <w:tc>
          <w:tcPr>
            <w:tcW w:w="64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500" w:type="dxa"/>
            <w:vAlign w:val="bottom"/>
            <w:tcBorders>
              <w:left w:val="single" w:sz="8" w:color="auto"/>
              <w:right w:val="single" w:sz="8" w:color="auto"/>
            </w:tcBorders>
            <w:gridSpan w:val="2"/>
            <w:vMerge w:val="continue"/>
          </w:tcPr>
          <w:p>
            <w:pPr>
              <w:spacing w:after="0"/>
              <w:rPr>
                <w:sz w:val="5"/>
                <w:szCs w:val="5"/>
                <w:color w:val="auto"/>
              </w:rPr>
            </w:pPr>
          </w:p>
        </w:tc>
        <w:tc>
          <w:tcPr>
            <w:tcW w:w="64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2016</w:t>
            </w:r>
          </w:p>
        </w:tc>
        <w:tc>
          <w:tcPr>
            <w:tcW w:w="9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$ 427,245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333,251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279,647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9"/>
              </w:rPr>
              <w:t>1,117,834</w:t>
            </w:r>
          </w:p>
        </w:tc>
        <w:tc>
          <w:tcPr>
            <w:tcW w:w="2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26,177</w:t>
            </w:r>
          </w:p>
        </w:tc>
        <w:tc>
          <w:tcPr>
            <w:tcW w:w="10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$ 2,184,154</w:t>
            </w:r>
          </w:p>
        </w:tc>
        <w:tc>
          <w:tcPr>
            <w:tcW w:w="0" w:type="dxa"/>
            <w:vAlign w:val="bottom"/>
          </w:tcPr>
          <w:p>
            <w:pPr>
              <w:spacing w:after="0"/>
              <w:rPr>
                <w:sz w:val="1"/>
                <w:szCs w:val="1"/>
                <w:color w:val="auto"/>
              </w:rPr>
            </w:pPr>
          </w:p>
        </w:tc>
      </w:tr>
      <w:tr>
        <w:trPr>
          <w:trHeight w:val="172"/>
        </w:trPr>
        <w:tc>
          <w:tcPr>
            <w:tcW w:w="2500" w:type="dxa"/>
            <w:vAlign w:val="bottom"/>
            <w:tcBorders>
              <w:left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Senior Vice President, Drug</w:t>
            </w:r>
          </w:p>
        </w:tc>
        <w:tc>
          <w:tcPr>
            <w:tcW w:w="640" w:type="dxa"/>
            <w:vAlign w:val="bottom"/>
            <w:tcBorders>
              <w:right w:val="single" w:sz="8" w:color="auto"/>
            </w:tcBorders>
            <w:vMerge w:val="continue"/>
            <w:shd w:val="clear" w:color="auto" w:fill="CCEEFF"/>
          </w:tcPr>
          <w:p>
            <w:pPr>
              <w:spacing w:after="0"/>
              <w:rPr>
                <w:sz w:val="14"/>
                <w:szCs w:val="14"/>
                <w:color w:val="auto"/>
              </w:rPr>
            </w:pPr>
          </w:p>
        </w:tc>
        <w:tc>
          <w:tcPr>
            <w:tcW w:w="940" w:type="dxa"/>
            <w:vAlign w:val="bottom"/>
            <w:tcBorders>
              <w:right w:val="single" w:sz="8" w:color="auto"/>
            </w:tcBorders>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60" w:type="dxa"/>
            <w:vAlign w:val="bottom"/>
            <w:tcBorders>
              <w:right w:val="single" w:sz="8" w:color="auto"/>
            </w:tcBorders>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60" w:type="dxa"/>
            <w:vAlign w:val="bottom"/>
            <w:tcBorders>
              <w:right w:val="single" w:sz="8" w:color="auto"/>
            </w:tcBorders>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60" w:type="dxa"/>
            <w:vAlign w:val="bottom"/>
            <w:tcBorders>
              <w:right w:val="single" w:sz="8" w:color="auto"/>
            </w:tcBorders>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060" w:type="dxa"/>
            <w:vAlign w:val="bottom"/>
            <w:tcBorders>
              <w:right w:val="single" w:sz="8" w:color="auto"/>
            </w:tcBorders>
            <w:vMerge w:val="continue"/>
            <w:shd w:val="clear" w:color="auto" w:fill="CCEEFF"/>
          </w:tcPr>
          <w:p>
            <w:pPr>
              <w:spacing w:after="0"/>
              <w:rPr>
                <w:sz w:val="14"/>
                <w:szCs w:val="14"/>
                <w:color w:val="auto"/>
              </w:rPr>
            </w:pPr>
          </w:p>
        </w:tc>
        <w:tc>
          <w:tcPr>
            <w:tcW w:w="104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500" w:type="dxa"/>
            <w:vAlign w:val="bottom"/>
            <w:tcBorders>
              <w:left w:val="single" w:sz="8" w:color="auto"/>
              <w:right w:val="single" w:sz="8" w:color="auto"/>
            </w:tcBorders>
            <w:gridSpan w:val="2"/>
            <w:vMerge w:val="continue"/>
          </w:tcPr>
          <w:p>
            <w:pPr>
              <w:spacing w:after="0"/>
              <w:rPr>
                <w:sz w:val="3"/>
                <w:szCs w:val="3"/>
                <w:color w:val="auto"/>
              </w:rPr>
            </w:pPr>
          </w:p>
        </w:tc>
        <w:tc>
          <w:tcPr>
            <w:tcW w:w="640" w:type="dxa"/>
            <w:vAlign w:val="bottom"/>
            <w:tcBorders>
              <w:right w:val="single" w:sz="8" w:color="auto"/>
            </w:tcBorders>
            <w:shd w:val="clear" w:color="auto" w:fill="CCEEFF"/>
          </w:tcPr>
          <w:p>
            <w:pPr>
              <w:spacing w:after="0"/>
              <w:rPr>
                <w:sz w:val="3"/>
                <w:szCs w:val="3"/>
                <w:color w:val="auto"/>
              </w:rPr>
            </w:pPr>
          </w:p>
        </w:tc>
        <w:tc>
          <w:tcPr>
            <w:tcW w:w="940" w:type="dxa"/>
            <w:vAlign w:val="bottom"/>
            <w:tcBorders>
              <w:right w:val="single" w:sz="8" w:color="auto"/>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60" w:type="dxa"/>
            <w:vAlign w:val="bottom"/>
            <w:tcBorders>
              <w:right w:val="single" w:sz="8" w:color="auto"/>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60" w:type="dxa"/>
            <w:vAlign w:val="bottom"/>
            <w:tcBorders>
              <w:right w:val="single" w:sz="8" w:color="auto"/>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60" w:type="dxa"/>
            <w:vAlign w:val="bottom"/>
            <w:tcBorders>
              <w:right w:val="single" w:sz="8" w:color="auto"/>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60" w:type="dxa"/>
            <w:vAlign w:val="bottom"/>
            <w:tcBorders>
              <w:right w:val="single" w:sz="8" w:color="auto"/>
            </w:tcBorders>
            <w:shd w:val="clear" w:color="auto" w:fill="CCEEFF"/>
          </w:tcPr>
          <w:p>
            <w:pPr>
              <w:spacing w:after="0"/>
              <w:rPr>
                <w:sz w:val="3"/>
                <w:szCs w:val="3"/>
                <w:color w:val="auto"/>
              </w:rPr>
            </w:pPr>
          </w:p>
        </w:tc>
        <w:tc>
          <w:tcPr>
            <w:tcW w:w="1040" w:type="dxa"/>
            <w:vAlign w:val="bottom"/>
            <w:tcBorders>
              <w:right w:val="single" w:sz="8" w:color="auto"/>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500" w:type="dxa"/>
            <w:vAlign w:val="bottom"/>
            <w:tcBorders>
              <w:left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Discovery &amp; Corporate</w:t>
            </w:r>
          </w:p>
        </w:tc>
        <w:tc>
          <w:tcPr>
            <w:tcW w:w="640" w:type="dxa"/>
            <w:vAlign w:val="bottom"/>
            <w:tcBorders>
              <w:right w:val="single" w:sz="8" w:color="auto"/>
            </w:tcBorders>
            <w:shd w:val="clear" w:color="auto" w:fill="CCEEFF"/>
          </w:tcPr>
          <w:p>
            <w:pPr>
              <w:spacing w:after="0"/>
              <w:rPr>
                <w:sz w:val="7"/>
                <w:szCs w:val="7"/>
                <w:color w:val="auto"/>
              </w:rPr>
            </w:pPr>
          </w:p>
        </w:tc>
        <w:tc>
          <w:tcPr>
            <w:tcW w:w="940" w:type="dxa"/>
            <w:vAlign w:val="bottom"/>
            <w:tcBorders>
              <w:right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60" w:type="dxa"/>
            <w:vAlign w:val="bottom"/>
            <w:tcBorders>
              <w:right w:val="single" w:sz="8" w:color="auto"/>
            </w:tcBorders>
            <w:shd w:val="clear" w:color="auto" w:fill="CCEEFF"/>
          </w:tcPr>
          <w:p>
            <w:pPr>
              <w:spacing w:after="0"/>
              <w:rPr>
                <w:sz w:val="7"/>
                <w:szCs w:val="7"/>
                <w:color w:val="auto"/>
              </w:rPr>
            </w:pPr>
          </w:p>
        </w:tc>
        <w:tc>
          <w:tcPr>
            <w:tcW w:w="104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500" w:type="dxa"/>
            <w:vAlign w:val="bottom"/>
            <w:tcBorders>
              <w:left w:val="single" w:sz="8" w:color="auto"/>
              <w:right w:val="single" w:sz="8" w:color="auto"/>
            </w:tcBorders>
            <w:gridSpan w:val="2"/>
            <w:vMerge w:val="continue"/>
          </w:tcPr>
          <w:p>
            <w:pPr>
              <w:spacing w:after="0"/>
              <w:rPr>
                <w:sz w:val="11"/>
                <w:szCs w:val="11"/>
                <w:color w:val="auto"/>
              </w:rPr>
            </w:pPr>
          </w:p>
        </w:tc>
        <w:tc>
          <w:tcPr>
            <w:tcW w:w="64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2015</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$ 412,797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257,585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417,859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997,237</w:t>
            </w:r>
          </w:p>
        </w:tc>
        <w:tc>
          <w:tcPr>
            <w:tcW w:w="2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26,542</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$ 2,112,020</w:t>
            </w:r>
          </w:p>
        </w:tc>
        <w:tc>
          <w:tcPr>
            <w:tcW w:w="0" w:type="dxa"/>
            <w:vAlign w:val="bottom"/>
          </w:tcPr>
          <w:p>
            <w:pPr>
              <w:spacing w:after="0"/>
              <w:rPr>
                <w:sz w:val="1"/>
                <w:szCs w:val="1"/>
                <w:color w:val="auto"/>
              </w:rPr>
            </w:pPr>
          </w:p>
        </w:tc>
      </w:tr>
      <w:tr>
        <w:trPr>
          <w:trHeight w:val="104"/>
        </w:trPr>
        <w:tc>
          <w:tcPr>
            <w:tcW w:w="2500" w:type="dxa"/>
            <w:vAlign w:val="bottom"/>
            <w:tcBorders>
              <w:left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Development</w:t>
            </w:r>
          </w:p>
        </w:tc>
        <w:tc>
          <w:tcPr>
            <w:tcW w:w="64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500" w:type="dxa"/>
            <w:vAlign w:val="bottom"/>
            <w:tcBorders>
              <w:left w:val="single" w:sz="8" w:color="auto"/>
              <w:bottom w:val="single" w:sz="8" w:color="auto"/>
              <w:right w:val="single" w:sz="8" w:color="auto"/>
            </w:tcBorders>
            <w:gridSpan w:val="2"/>
            <w:vMerge w:val="continue"/>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bottom w:val="single" w:sz="8" w:color="CCEEFF"/>
              <w:right w:val="single" w:sz="8" w:color="auto"/>
            </w:tcBorders>
            <w:gridSpan w:val="2"/>
            <w:shd w:val="clear" w:color="auto" w:fill="CCEEFF"/>
          </w:tcPr>
          <w:p>
            <w:pPr>
              <w:ind w:left="40"/>
              <w:spacing w:after="0" w:line="211" w:lineRule="exact"/>
              <w:rPr>
                <w:sz w:val="20"/>
                <w:szCs w:val="20"/>
                <w:color w:val="auto"/>
              </w:rPr>
            </w:pPr>
            <w:r>
              <w:rPr>
                <w:rFonts w:ascii="Times New Roman" w:cs="Times New Roman" w:eastAsia="Times New Roman" w:hAnsi="Times New Roman"/>
                <w:sz w:val="15"/>
                <w:szCs w:val="15"/>
                <w:color w:val="auto"/>
              </w:rPr>
              <w:t>Richard S. Geary</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5"/>
                <w:szCs w:val="15"/>
                <w:color w:val="auto"/>
              </w:rPr>
              <w:t xml:space="preserve"> Senior Vice</w:t>
            </w:r>
          </w:p>
        </w:tc>
        <w:tc>
          <w:tcPr>
            <w:tcW w:w="640" w:type="dxa"/>
            <w:vAlign w:val="bottom"/>
            <w:tcBorders>
              <w:bottom w:val="single" w:sz="8" w:color="CCEEFF"/>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2017</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$ 456,323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320,339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362,454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9"/>
              </w:rPr>
              <w:t>1,141,147</w:t>
            </w:r>
          </w:p>
        </w:tc>
        <w:tc>
          <w:tcPr>
            <w:tcW w:w="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31,219</w:t>
            </w:r>
          </w:p>
        </w:tc>
        <w:tc>
          <w:tcPr>
            <w:tcW w:w="10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$ 2,311,482</w:t>
            </w:r>
          </w:p>
        </w:tc>
        <w:tc>
          <w:tcPr>
            <w:tcW w:w="0" w:type="dxa"/>
            <w:vAlign w:val="bottom"/>
          </w:tcPr>
          <w:p>
            <w:pPr>
              <w:spacing w:after="0"/>
              <w:rPr>
                <w:sz w:val="1"/>
                <w:szCs w:val="1"/>
                <w:color w:val="auto"/>
              </w:rPr>
            </w:pPr>
          </w:p>
        </w:tc>
      </w:tr>
      <w:tr>
        <w:trPr>
          <w:trHeight w:val="243"/>
        </w:trPr>
        <w:tc>
          <w:tcPr>
            <w:tcW w:w="2500" w:type="dxa"/>
            <w:vAlign w:val="bottom"/>
            <w:tcBorders>
              <w:left w:val="single" w:sz="8" w:color="auto"/>
              <w:right w:val="single" w:sz="8" w:color="auto"/>
            </w:tcBorders>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President, Development</w:t>
            </w:r>
          </w:p>
        </w:tc>
        <w:tc>
          <w:tcPr>
            <w:tcW w:w="640" w:type="dxa"/>
            <w:vAlign w:val="bottom"/>
            <w:tcBorders>
              <w:right w:val="single" w:sz="8" w:color="auto"/>
            </w:tcBorders>
            <w:shd w:val="clear" w:color="auto" w:fill="CCEDFF"/>
          </w:tcPr>
          <w:p>
            <w:pPr>
              <w:ind w:left="160"/>
              <w:spacing w:after="0"/>
              <w:rPr>
                <w:sz w:val="20"/>
                <w:szCs w:val="20"/>
                <w:color w:val="auto"/>
              </w:rPr>
            </w:pPr>
            <w:r>
              <w:rPr>
                <w:rFonts w:ascii="Times New Roman" w:cs="Times New Roman" w:eastAsia="Times New Roman" w:hAnsi="Times New Roman"/>
                <w:sz w:val="18"/>
                <w:szCs w:val="18"/>
                <w:color w:val="auto"/>
              </w:rPr>
              <w:t>2016</w:t>
            </w:r>
          </w:p>
        </w:tc>
        <w:tc>
          <w:tcPr>
            <w:tcW w:w="940" w:type="dxa"/>
            <w:vAlign w:val="bottom"/>
            <w:tcBorders>
              <w:right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$ 443,032</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317,359</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DFF"/>
          </w:tcPr>
          <w:p>
            <w:pPr>
              <w:jc w:val="right"/>
              <w:ind w:right="34"/>
              <w:spacing w:after="0"/>
              <w:rPr>
                <w:sz w:val="20"/>
                <w:szCs w:val="20"/>
                <w:color w:val="auto"/>
              </w:rPr>
            </w:pPr>
            <w:r>
              <w:rPr>
                <w:rFonts w:ascii="Times New Roman" w:cs="Times New Roman" w:eastAsia="Times New Roman" w:hAnsi="Times New Roman"/>
                <w:sz w:val="18"/>
                <w:szCs w:val="18"/>
                <w:color w:val="auto"/>
              </w:rPr>
              <w:t>279,647</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DFF"/>
          </w:tcPr>
          <w:p>
            <w:pPr>
              <w:jc w:val="right"/>
              <w:ind w:right="34"/>
              <w:spacing w:after="0"/>
              <w:rPr>
                <w:sz w:val="20"/>
                <w:szCs w:val="20"/>
                <w:color w:val="auto"/>
              </w:rPr>
            </w:pPr>
            <w:r>
              <w:rPr>
                <w:rFonts w:ascii="Times New Roman" w:cs="Times New Roman" w:eastAsia="Times New Roman" w:hAnsi="Times New Roman"/>
                <w:sz w:val="18"/>
                <w:szCs w:val="18"/>
                <w:color w:val="auto"/>
                <w:w w:val="99"/>
              </w:rPr>
              <w:t>1,117,834</w:t>
            </w:r>
          </w:p>
        </w:tc>
        <w:tc>
          <w:tcPr>
            <w:tcW w:w="260" w:type="dxa"/>
            <w:vAlign w:val="bottom"/>
            <w:shd w:val="clear" w:color="auto" w:fill="CCED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21,573</w:t>
            </w:r>
          </w:p>
        </w:tc>
        <w:tc>
          <w:tcPr>
            <w:tcW w:w="1040" w:type="dxa"/>
            <w:vAlign w:val="bottom"/>
            <w:tcBorders>
              <w:right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8"/>
              </w:rPr>
              <w:t>$ 2,177,190</w:t>
            </w:r>
          </w:p>
        </w:tc>
        <w:tc>
          <w:tcPr>
            <w:tcW w:w="0" w:type="dxa"/>
            <w:vAlign w:val="bottom"/>
          </w:tcPr>
          <w:p>
            <w:pPr>
              <w:spacing w:after="0"/>
              <w:rPr>
                <w:sz w:val="1"/>
                <w:szCs w:val="1"/>
                <w:color w:val="auto"/>
              </w:rPr>
            </w:pPr>
          </w:p>
        </w:tc>
      </w:tr>
      <w:tr>
        <w:trPr>
          <w:trHeight w:val="239"/>
        </w:trPr>
        <w:tc>
          <w:tcPr>
            <w:tcW w:w="1440" w:type="dxa"/>
            <w:vAlign w:val="bottom"/>
            <w:tcBorders>
              <w:left w:val="single" w:sz="8" w:color="auto"/>
              <w:bottom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auto"/>
            </w:tcBorders>
            <w:shd w:val="clear" w:color="auto" w:fill="CCEEFF"/>
          </w:tcPr>
          <w:p>
            <w:pPr>
              <w:spacing w:after="0"/>
              <w:rPr>
                <w:sz w:val="20"/>
                <w:szCs w:val="20"/>
                <w:color w:val="auto"/>
              </w:rPr>
            </w:pPr>
          </w:p>
        </w:tc>
        <w:tc>
          <w:tcPr>
            <w:tcW w:w="64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2015</w:t>
            </w:r>
          </w:p>
        </w:tc>
        <w:tc>
          <w:tcPr>
            <w:tcW w:w="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$ 428,464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226,246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360,859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861,271</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20,868</w:t>
            </w:r>
          </w:p>
        </w:tc>
        <w:tc>
          <w:tcPr>
            <w:tcW w:w="1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$ 1,879,110</w:t>
            </w:r>
          </w:p>
        </w:tc>
        <w:tc>
          <w:tcPr>
            <w:tcW w:w="0" w:type="dxa"/>
            <w:vAlign w:val="bottom"/>
          </w:tcPr>
          <w:p>
            <w:pPr>
              <w:spacing w:after="0"/>
              <w:rPr>
                <w:sz w:val="1"/>
                <w:szCs w:val="1"/>
                <w:color w:val="auto"/>
              </w:rPr>
            </w:pPr>
          </w:p>
        </w:tc>
      </w:tr>
      <w:tr>
        <w:trPr>
          <w:trHeight w:val="173"/>
        </w:trPr>
        <w:tc>
          <w:tcPr>
            <w:tcW w:w="1440" w:type="dxa"/>
            <w:vAlign w:val="bottom"/>
            <w:tcBorders>
              <w:bottom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-2091690</wp:posOffset>
            </wp:positionV>
            <wp:extent cx="4493895"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493895" cy="15430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-1071245</wp:posOffset>
            </wp:positionV>
            <wp:extent cx="4493895" cy="231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493895" cy="231775"/>
                    </a:xfrm>
                    <a:prstGeom prst="rect">
                      <a:avLst/>
                    </a:prstGeom>
                    <a:noFill/>
                  </pic:spPr>
                </pic:pic>
              </a:graphicData>
            </a:graphic>
          </wp:anchor>
        </w:drawing>
      </w:r>
    </w:p>
    <w:p>
      <w:pPr>
        <w:spacing w:after="0" w:line="79" w:lineRule="exact"/>
        <w:rPr>
          <w:sz w:val="20"/>
          <w:szCs w:val="20"/>
          <w:color w:val="auto"/>
        </w:rPr>
      </w:pPr>
    </w:p>
    <w:p>
      <w:pPr>
        <w:ind w:left="347" w:right="200" w:hanging="347"/>
        <w:spacing w:after="0" w:line="282" w:lineRule="auto"/>
        <w:tabs>
          <w:tab w:leader="none" w:pos="347"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present bonuses in the years they were earned, not in the year paid. Bonuses represent compensation for achievements and are not necessarily paid in the year they are earned; for example, in January 2018 we paid bonuses for 2017 performance.</w:t>
      </w:r>
    </w:p>
    <w:p>
      <w:pPr>
        <w:spacing w:after="0" w:line="53" w:lineRule="exact"/>
        <w:rPr>
          <w:rFonts w:ascii="Times New Roman" w:cs="Times New Roman" w:eastAsia="Times New Roman" w:hAnsi="Times New Roman"/>
          <w:sz w:val="14"/>
          <w:szCs w:val="14"/>
          <w:color w:val="auto"/>
        </w:rPr>
      </w:pPr>
    </w:p>
    <w:p>
      <w:pPr>
        <w:ind w:left="347" w:right="160" w:hanging="347"/>
        <w:spacing w:after="0" w:line="251" w:lineRule="auto"/>
        <w:tabs>
          <w:tab w:leader="none" w:pos="347"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represent the aggregate expense recognized for financial statement reporting purposes in accordance with ASC 718 for stock and option awards granted to our named executive officers. ASC 718 expense for the option awards is based on the fair value of the awards on the date of grant using an option-pricing model. The fair value of RSUs is based on the market price of our common stock on the date of grant. For more information, please see Note 4, </w:t>
      </w:r>
      <w:r>
        <w:rPr>
          <w:rFonts w:ascii="Times New Roman" w:cs="Times New Roman" w:eastAsia="Times New Roman" w:hAnsi="Times New Roman"/>
          <w:sz w:val="14"/>
          <w:szCs w:val="14"/>
          <w:i w:val="1"/>
          <w:iCs w:val="1"/>
          <w:color w:val="auto"/>
        </w:rPr>
        <w:t xml:space="preserve">Stockholders’ Equity, </w:t>
      </w:r>
      <w:r>
        <w:rPr>
          <w:rFonts w:ascii="Times New Roman" w:cs="Times New Roman" w:eastAsia="Times New Roman" w:hAnsi="Times New Roman"/>
          <w:sz w:val="14"/>
          <w:szCs w:val="14"/>
          <w:color w:val="auto"/>
        </w:rPr>
        <w:t>of the consolidated financial statements in our Annual Report on Form 10-K for the year ended December 31, 2017 regarding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assumptions underlying valuation of equity awards.</w:t>
      </w:r>
    </w:p>
    <w:p>
      <w:pPr>
        <w:spacing w:after="0" w:line="76" w:lineRule="exact"/>
        <w:rPr>
          <w:rFonts w:ascii="Times New Roman" w:cs="Times New Roman" w:eastAsia="Times New Roman" w:hAnsi="Times New Roman"/>
          <w:sz w:val="14"/>
          <w:szCs w:val="14"/>
          <w:color w:val="auto"/>
        </w:rPr>
      </w:pPr>
    </w:p>
    <w:p>
      <w:pPr>
        <w:ind w:left="347" w:hanging="347"/>
        <w:spacing w:after="0"/>
        <w:tabs>
          <w:tab w:leader="none" w:pos="347"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AD&amp;D, Basic Life, Medical, Dental, Vision, and 401(k) matching contributions which are available to all employees.</w:t>
      </w:r>
    </w:p>
    <w:p>
      <w:pPr>
        <w:spacing w:after="0" w:line="109" w:lineRule="exact"/>
        <w:rPr>
          <w:rFonts w:ascii="Times New Roman" w:cs="Times New Roman" w:eastAsia="Times New Roman" w:hAnsi="Times New Roman"/>
          <w:sz w:val="14"/>
          <w:szCs w:val="14"/>
          <w:color w:val="auto"/>
        </w:rPr>
      </w:pPr>
    </w:p>
    <w:p>
      <w:pPr>
        <w:ind w:left="347" w:right="220" w:hanging="347"/>
        <w:spacing w:after="0" w:line="282" w:lineRule="auto"/>
        <w:tabs>
          <w:tab w:leader="none" w:pos="347"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January 2018, Brett Monia, a founder of Ionis, became Chief Operating Officer. At such time, B. Lynne Parshall became a Senior Strategic Advisor to Ionis and she continues to be a member of the Board of Directors of Ionis.</w:t>
      </w:r>
    </w:p>
    <w:p>
      <w:pPr>
        <w:spacing w:after="0" w:line="53" w:lineRule="exact"/>
        <w:rPr>
          <w:rFonts w:ascii="Times New Roman" w:cs="Times New Roman" w:eastAsia="Times New Roman" w:hAnsi="Times New Roman"/>
          <w:sz w:val="14"/>
          <w:szCs w:val="14"/>
          <w:color w:val="auto"/>
        </w:rPr>
      </w:pPr>
    </w:p>
    <w:p>
      <w:pPr>
        <w:ind w:left="347" w:hanging="347"/>
        <w:spacing w:after="0"/>
        <w:tabs>
          <w:tab w:leader="none" w:pos="347"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Geary was not a named executive officer in 2016 or 2015.</w:t>
      </w:r>
    </w:p>
    <w:p>
      <w:pPr>
        <w:spacing w:after="0" w:line="20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49" w:name="page50"/>
    <w:bookmarkEnd w:id="49"/>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21" w:lineRule="exact"/>
        <w:rPr>
          <w:sz w:val="20"/>
          <w:szCs w:val="20"/>
          <w:color w:val="auto"/>
        </w:rPr>
      </w:pPr>
    </w:p>
    <w:p>
      <w:pPr>
        <w:ind w:left="7" w:right="34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2017, certain information regarding grants of plan-based awards to our named executive officers:</w:t>
      </w:r>
    </w:p>
    <w:p>
      <w:pPr>
        <w:spacing w:after="0" w:line="158" w:lineRule="exact"/>
        <w:rPr>
          <w:sz w:val="20"/>
          <w:szCs w:val="20"/>
          <w:color w:val="auto"/>
        </w:rPr>
      </w:pPr>
    </w:p>
    <w:p>
      <w:pPr>
        <w:ind w:left="3267"/>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2017</w:t>
      </w:r>
    </w:p>
    <w:p>
      <w:pPr>
        <w:spacing w:after="0" w:line="65" w:lineRule="exact"/>
        <w:rPr>
          <w:sz w:val="20"/>
          <w:szCs w:val="20"/>
          <w:color w:val="auto"/>
        </w:rPr>
      </w:pPr>
    </w:p>
    <w:tbl>
      <w:tblPr>
        <w:tblLayout w:type="fixed"/>
        <w:tblInd w:w="17" w:type="dxa"/>
        <w:tblCellMar>
          <w:top w:w="0" w:type="dxa"/>
          <w:left w:w="0" w:type="dxa"/>
          <w:bottom w:w="0" w:type="dxa"/>
          <w:right w:w="0" w:type="dxa"/>
        </w:tblCellMar>
      </w:tblPr>
      <w:tr>
        <w:trPr>
          <w:trHeight w:val="178"/>
        </w:trPr>
        <w:tc>
          <w:tcPr>
            <w:tcW w:w="1440" w:type="dxa"/>
            <w:vAlign w:val="bottom"/>
            <w:tcBorders>
              <w:top w:val="single" w:sz="8" w:color="auto"/>
              <w:left w:val="single" w:sz="8" w:color="auto"/>
            </w:tcBorders>
          </w:tcPr>
          <w:p>
            <w:pPr>
              <w:spacing w:after="0"/>
              <w:rPr>
                <w:sz w:val="15"/>
                <w:szCs w:val="15"/>
                <w:color w:val="auto"/>
              </w:rPr>
            </w:pPr>
          </w:p>
        </w:tc>
        <w:tc>
          <w:tcPr>
            <w:tcW w:w="2600" w:type="dxa"/>
            <w:vAlign w:val="bottom"/>
            <w:tcBorders>
              <w:top w:val="single" w:sz="8" w:color="auto"/>
              <w:right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spacing w:after="0"/>
              <w:rPr>
                <w:sz w:val="15"/>
                <w:szCs w:val="15"/>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1140" w:type="dxa"/>
            <w:vAlign w:val="bottom"/>
            <w:tcBorders>
              <w:top w:val="single" w:sz="8" w:color="auto"/>
              <w:right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r>
      <w:tr>
        <w:trPr>
          <w:trHeight w:val="162"/>
        </w:trPr>
        <w:tc>
          <w:tcPr>
            <w:tcW w:w="1440" w:type="dxa"/>
            <w:vAlign w:val="bottom"/>
            <w:tcBorders>
              <w:lef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162"/>
        </w:trPr>
        <w:tc>
          <w:tcPr>
            <w:tcW w:w="1440" w:type="dxa"/>
            <w:vAlign w:val="bottom"/>
            <w:tcBorders>
              <w:lef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8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162"/>
        </w:trPr>
        <w:tc>
          <w:tcPr>
            <w:tcW w:w="1440" w:type="dxa"/>
            <w:vAlign w:val="bottom"/>
            <w:tcBorders>
              <w:lef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4"/>
                <w:szCs w:val="14"/>
                <w:color w:val="auto"/>
              </w:rPr>
            </w:pPr>
          </w:p>
        </w:tc>
        <w:tc>
          <w:tcPr>
            <w:tcW w:w="760" w:type="dxa"/>
            <w:vAlign w:val="bottom"/>
            <w:tcBorders>
              <w:right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4"/>
                <w:szCs w:val="14"/>
                <w:color w:val="auto"/>
              </w:rPr>
            </w:pPr>
          </w:p>
        </w:tc>
        <w:tc>
          <w:tcPr>
            <w:tcW w:w="1040" w:type="dxa"/>
            <w:vAlign w:val="bottom"/>
            <w:tcBorders>
              <w:right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2"/>
        </w:trPr>
        <w:tc>
          <w:tcPr>
            <w:tcW w:w="1440" w:type="dxa"/>
            <w:vAlign w:val="bottom"/>
            <w:tcBorders>
              <w:lef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4"/>
                <w:szCs w:val="14"/>
                <w:color w:val="auto"/>
              </w:rPr>
            </w:pPr>
          </w:p>
        </w:tc>
        <w:tc>
          <w:tcPr>
            <w:tcW w:w="760" w:type="dxa"/>
            <w:vAlign w:val="bottom"/>
            <w:tcBorders>
              <w:right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or Base</w:t>
            </w:r>
          </w:p>
        </w:tc>
        <w:tc>
          <w:tcPr>
            <w:tcW w:w="180" w:type="dxa"/>
            <w:vAlign w:val="bottom"/>
          </w:tcPr>
          <w:p>
            <w:pPr>
              <w:spacing w:after="0"/>
              <w:rPr>
                <w:sz w:val="14"/>
                <w:szCs w:val="14"/>
                <w:color w:val="auto"/>
              </w:rPr>
            </w:pPr>
          </w:p>
        </w:tc>
        <w:tc>
          <w:tcPr>
            <w:tcW w:w="1040" w:type="dxa"/>
            <w:vAlign w:val="bottom"/>
            <w:tcBorders>
              <w:right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Fair Value of</w:t>
            </w:r>
          </w:p>
        </w:tc>
      </w:tr>
      <w:tr>
        <w:trPr>
          <w:trHeight w:val="162"/>
        </w:trPr>
        <w:tc>
          <w:tcPr>
            <w:tcW w:w="1440" w:type="dxa"/>
            <w:vAlign w:val="bottom"/>
            <w:tcBorders>
              <w:lef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4"/>
                <w:szCs w:val="14"/>
                <w:color w:val="auto"/>
              </w:rPr>
            </w:pPr>
          </w:p>
        </w:tc>
        <w:tc>
          <w:tcPr>
            <w:tcW w:w="760" w:type="dxa"/>
            <w:vAlign w:val="bottom"/>
            <w:tcBorders>
              <w:right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 of</w:t>
            </w:r>
          </w:p>
        </w:tc>
        <w:tc>
          <w:tcPr>
            <w:tcW w:w="180" w:type="dxa"/>
            <w:vAlign w:val="bottom"/>
          </w:tcPr>
          <w:p>
            <w:pPr>
              <w:spacing w:after="0"/>
              <w:rPr>
                <w:sz w:val="14"/>
                <w:szCs w:val="14"/>
                <w:color w:val="auto"/>
              </w:rPr>
            </w:pPr>
          </w:p>
        </w:tc>
        <w:tc>
          <w:tcPr>
            <w:tcW w:w="1040" w:type="dxa"/>
            <w:vAlign w:val="bottom"/>
            <w:tcBorders>
              <w:right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Stock and</w:t>
            </w:r>
          </w:p>
        </w:tc>
      </w:tr>
      <w:tr>
        <w:trPr>
          <w:trHeight w:val="146"/>
        </w:trPr>
        <w:tc>
          <w:tcPr>
            <w:tcW w:w="1440" w:type="dxa"/>
            <w:vAlign w:val="bottom"/>
            <w:tcBorders>
              <w:lef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1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760" w:type="dxa"/>
            <w:vAlign w:val="bottom"/>
            <w:tcBorders>
              <w:right w:val="single" w:sz="8" w:color="auto"/>
            </w:tcBorders>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80" w:type="dxa"/>
            <w:vAlign w:val="bottom"/>
          </w:tcPr>
          <w:p>
            <w:pPr>
              <w:spacing w:after="0"/>
              <w:rPr>
                <w:sz w:val="12"/>
                <w:szCs w:val="12"/>
                <w:color w:val="auto"/>
              </w:rPr>
            </w:pPr>
          </w:p>
        </w:tc>
        <w:tc>
          <w:tcPr>
            <w:tcW w:w="1040" w:type="dxa"/>
            <w:vAlign w:val="bottom"/>
            <w:tcBorders>
              <w:right w:val="single" w:sz="8" w:color="auto"/>
            </w:tcBorders>
          </w:tcPr>
          <w:p>
            <w:pPr>
              <w:jc w:val="center"/>
              <w:ind w:right="77"/>
              <w:spacing w:after="0" w:line="147" w:lineRule="exact"/>
              <w:rPr>
                <w:sz w:val="20"/>
                <w:szCs w:val="20"/>
                <w:color w:val="auto"/>
              </w:rPr>
            </w:pPr>
            <w:r>
              <w:rPr>
                <w:rFonts w:ascii="Times New Roman" w:cs="Times New Roman" w:eastAsia="Times New Roman" w:hAnsi="Times New Roman"/>
                <w:sz w:val="14"/>
                <w:szCs w:val="14"/>
                <w:b w:val="1"/>
                <w:bCs w:val="1"/>
                <w:color w:val="auto"/>
              </w:rPr>
              <w:t>Option</w:t>
            </w:r>
          </w:p>
        </w:tc>
      </w:tr>
      <w:tr>
        <w:trPr>
          <w:trHeight w:val="178"/>
        </w:trPr>
        <w:tc>
          <w:tcPr>
            <w:tcW w:w="1440" w:type="dxa"/>
            <w:vAlign w:val="bottom"/>
            <w:tcBorders>
              <w:lef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760" w:type="dxa"/>
            <w:vAlign w:val="bottom"/>
            <w:tcBorders>
              <w:right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80" w:type="dxa"/>
            <w:vAlign w:val="bottom"/>
          </w:tcPr>
          <w:p>
            <w:pPr>
              <w:spacing w:after="0"/>
              <w:rPr>
                <w:sz w:val="15"/>
                <w:szCs w:val="15"/>
                <w:color w:val="auto"/>
              </w:rPr>
            </w:pPr>
          </w:p>
        </w:tc>
        <w:tc>
          <w:tcPr>
            <w:tcW w:w="1040" w:type="dxa"/>
            <w:vAlign w:val="bottom"/>
            <w:tcBorders>
              <w:right w:val="single" w:sz="8" w:color="auto"/>
            </w:tcBorders>
          </w:tcPr>
          <w:p>
            <w:pPr>
              <w:jc w:val="center"/>
              <w:ind w:right="77"/>
              <w:spacing w:after="0" w:line="178"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20"/>
                <w:szCs w:val="20"/>
                <w:b w:val="1"/>
                <w:bCs w:val="1"/>
                <w:color w:val="auto"/>
                <w:vertAlign w:val="superscript"/>
              </w:rPr>
              <w:t>(1)</w:t>
            </w:r>
          </w:p>
        </w:tc>
      </w:tr>
      <w:tr>
        <w:trPr>
          <w:trHeight w:val="187"/>
        </w:trPr>
        <w:tc>
          <w:tcPr>
            <w:tcW w:w="40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7"/>
        </w:trPr>
        <w:tc>
          <w:tcPr>
            <w:tcW w:w="404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Stanley T. Crooke</w:t>
            </w:r>
          </w:p>
        </w:tc>
        <w:tc>
          <w:tcPr>
            <w:tcW w:w="116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1/3/17</w:t>
            </w:r>
          </w:p>
        </w:tc>
        <w:tc>
          <w:tcPr>
            <w:tcW w:w="1060" w:type="dxa"/>
            <w:vAlign w:val="bottom"/>
            <w:tcBorders>
              <w:right w:val="single" w:sz="8" w:color="auto"/>
            </w:tcBorders>
            <w:shd w:val="clear" w:color="auto" w:fill="CCEEFF"/>
          </w:tcPr>
          <w:p>
            <w:pPr>
              <w:spacing w:after="0"/>
              <w:rPr>
                <w:sz w:val="20"/>
                <w:szCs w:val="20"/>
                <w:color w:val="auto"/>
              </w:rPr>
            </w:pPr>
          </w:p>
        </w:tc>
        <w:tc>
          <w:tcPr>
            <w:tcW w:w="11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163,013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4,113,250</w:t>
            </w:r>
          </w:p>
        </w:tc>
      </w:tr>
      <w:tr>
        <w:trPr>
          <w:trHeight w:val="239"/>
        </w:trPr>
        <w:tc>
          <w:tcPr>
            <w:tcW w:w="1440" w:type="dxa"/>
            <w:vAlign w:val="bottom"/>
            <w:tcBorders>
              <w:left w:val="single" w:sz="8" w:color="auto"/>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1/15/17</w:t>
            </w:r>
          </w:p>
        </w:tc>
        <w:tc>
          <w:tcPr>
            <w:tcW w:w="106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27,168</w:t>
            </w:r>
          </w:p>
        </w:tc>
        <w:tc>
          <w:tcPr>
            <w:tcW w:w="11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1,306,509</w:t>
            </w:r>
          </w:p>
        </w:tc>
      </w:tr>
      <w:tr>
        <w:trPr>
          <w:trHeight w:val="241"/>
        </w:trPr>
        <w:tc>
          <w:tcPr>
            <w:tcW w:w="404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Elizabeth L. Hougen</w:t>
            </w:r>
          </w:p>
        </w:tc>
        <w:tc>
          <w:tcPr>
            <w:tcW w:w="116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1/3/17</w:t>
            </w:r>
          </w:p>
        </w:tc>
        <w:tc>
          <w:tcPr>
            <w:tcW w:w="1060" w:type="dxa"/>
            <w:vAlign w:val="bottom"/>
            <w:tcBorders>
              <w:right w:val="single" w:sz="8" w:color="auto"/>
            </w:tcBorders>
            <w:shd w:val="clear" w:color="auto" w:fill="CCEEFF"/>
          </w:tcPr>
          <w:p>
            <w:pPr>
              <w:spacing w:after="0"/>
              <w:rPr>
                <w:sz w:val="20"/>
                <w:szCs w:val="20"/>
                <w:color w:val="auto"/>
              </w:rPr>
            </w:pPr>
          </w:p>
        </w:tc>
        <w:tc>
          <w:tcPr>
            <w:tcW w:w="11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45,225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1,141,147</w:t>
            </w:r>
          </w:p>
        </w:tc>
      </w:tr>
      <w:tr>
        <w:trPr>
          <w:trHeight w:val="239"/>
        </w:trPr>
        <w:tc>
          <w:tcPr>
            <w:tcW w:w="1440" w:type="dxa"/>
            <w:vAlign w:val="bottom"/>
            <w:tcBorders>
              <w:left w:val="single" w:sz="8" w:color="auto"/>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1/15/17</w:t>
            </w:r>
          </w:p>
        </w:tc>
        <w:tc>
          <w:tcPr>
            <w:tcW w:w="106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7,537</w:t>
            </w:r>
          </w:p>
        </w:tc>
        <w:tc>
          <w:tcPr>
            <w:tcW w:w="11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362,454</w:t>
            </w:r>
          </w:p>
        </w:tc>
      </w:tr>
      <w:tr>
        <w:trPr>
          <w:trHeight w:val="241"/>
        </w:trPr>
        <w:tc>
          <w:tcPr>
            <w:tcW w:w="404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 Lynne Parshall</w:t>
            </w:r>
          </w:p>
        </w:tc>
        <w:tc>
          <w:tcPr>
            <w:tcW w:w="116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1/3/17</w:t>
            </w:r>
          </w:p>
        </w:tc>
        <w:tc>
          <w:tcPr>
            <w:tcW w:w="1060" w:type="dxa"/>
            <w:vAlign w:val="bottom"/>
            <w:tcBorders>
              <w:right w:val="single" w:sz="8" w:color="auto"/>
            </w:tcBorders>
            <w:shd w:val="clear" w:color="auto" w:fill="CCEEFF"/>
          </w:tcPr>
          <w:p>
            <w:pPr>
              <w:spacing w:after="0"/>
              <w:rPr>
                <w:sz w:val="20"/>
                <w:szCs w:val="20"/>
                <w:color w:val="auto"/>
              </w:rPr>
            </w:pPr>
          </w:p>
        </w:tc>
        <w:tc>
          <w:tcPr>
            <w:tcW w:w="11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117,638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2,968,317</w:t>
            </w:r>
          </w:p>
        </w:tc>
      </w:tr>
      <w:tr>
        <w:trPr>
          <w:trHeight w:val="239"/>
        </w:trPr>
        <w:tc>
          <w:tcPr>
            <w:tcW w:w="1440" w:type="dxa"/>
            <w:vAlign w:val="bottom"/>
            <w:tcBorders>
              <w:left w:val="single" w:sz="8" w:color="auto"/>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1/15/17</w:t>
            </w:r>
          </w:p>
        </w:tc>
        <w:tc>
          <w:tcPr>
            <w:tcW w:w="106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19,606</w:t>
            </w:r>
          </w:p>
        </w:tc>
        <w:tc>
          <w:tcPr>
            <w:tcW w:w="11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942,853</w:t>
            </w:r>
          </w:p>
        </w:tc>
      </w:tr>
      <w:tr>
        <w:trPr>
          <w:trHeight w:val="241"/>
        </w:trPr>
        <w:tc>
          <w:tcPr>
            <w:tcW w:w="404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Brett Monia</w:t>
            </w:r>
          </w:p>
        </w:tc>
        <w:tc>
          <w:tcPr>
            <w:tcW w:w="116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1/3/17</w:t>
            </w:r>
          </w:p>
        </w:tc>
        <w:tc>
          <w:tcPr>
            <w:tcW w:w="1060" w:type="dxa"/>
            <w:vAlign w:val="bottom"/>
            <w:tcBorders>
              <w:right w:val="single" w:sz="8" w:color="auto"/>
            </w:tcBorders>
            <w:shd w:val="clear" w:color="auto" w:fill="CCEEFF"/>
          </w:tcPr>
          <w:p>
            <w:pPr>
              <w:spacing w:after="0"/>
              <w:rPr>
                <w:sz w:val="20"/>
                <w:szCs w:val="20"/>
                <w:color w:val="auto"/>
              </w:rPr>
            </w:pPr>
          </w:p>
        </w:tc>
        <w:tc>
          <w:tcPr>
            <w:tcW w:w="11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48,000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1,211,167</w:t>
            </w:r>
          </w:p>
        </w:tc>
      </w:tr>
      <w:tr>
        <w:trPr>
          <w:trHeight w:val="239"/>
        </w:trPr>
        <w:tc>
          <w:tcPr>
            <w:tcW w:w="1440" w:type="dxa"/>
            <w:vAlign w:val="bottom"/>
            <w:tcBorders>
              <w:left w:val="single" w:sz="8" w:color="auto"/>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1/15/17</w:t>
            </w:r>
          </w:p>
        </w:tc>
        <w:tc>
          <w:tcPr>
            <w:tcW w:w="106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8,000</w:t>
            </w:r>
          </w:p>
        </w:tc>
        <w:tc>
          <w:tcPr>
            <w:tcW w:w="11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384,720</w:t>
            </w:r>
          </w:p>
        </w:tc>
      </w:tr>
      <w:tr>
        <w:trPr>
          <w:trHeight w:val="241"/>
        </w:trPr>
        <w:tc>
          <w:tcPr>
            <w:tcW w:w="404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Richard S. Geary</w:t>
            </w:r>
          </w:p>
        </w:tc>
        <w:tc>
          <w:tcPr>
            <w:tcW w:w="116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1/3/17</w:t>
            </w:r>
          </w:p>
        </w:tc>
        <w:tc>
          <w:tcPr>
            <w:tcW w:w="1060" w:type="dxa"/>
            <w:vAlign w:val="bottom"/>
            <w:tcBorders>
              <w:right w:val="single" w:sz="8" w:color="auto"/>
            </w:tcBorders>
            <w:shd w:val="clear" w:color="auto" w:fill="CCEEFF"/>
          </w:tcPr>
          <w:p>
            <w:pPr>
              <w:spacing w:after="0"/>
              <w:rPr>
                <w:sz w:val="20"/>
                <w:szCs w:val="20"/>
                <w:color w:val="auto"/>
              </w:rPr>
            </w:pPr>
          </w:p>
        </w:tc>
        <w:tc>
          <w:tcPr>
            <w:tcW w:w="11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45,225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1,141,147</w:t>
            </w:r>
          </w:p>
        </w:tc>
      </w:tr>
      <w:tr>
        <w:trPr>
          <w:trHeight w:val="239"/>
        </w:trPr>
        <w:tc>
          <w:tcPr>
            <w:tcW w:w="1440" w:type="dxa"/>
            <w:vAlign w:val="bottom"/>
            <w:tcBorders>
              <w:left w:val="single" w:sz="8" w:color="auto"/>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1/15/17</w:t>
            </w:r>
          </w:p>
        </w:tc>
        <w:tc>
          <w:tcPr>
            <w:tcW w:w="106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7,537</w:t>
            </w:r>
          </w:p>
        </w:tc>
        <w:tc>
          <w:tcPr>
            <w:tcW w:w="11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362,454</w:t>
            </w:r>
          </w:p>
        </w:tc>
      </w:tr>
      <w:tr>
        <w:trPr>
          <w:trHeight w:val="187"/>
        </w:trPr>
        <w:tc>
          <w:tcPr>
            <w:tcW w:w="1440" w:type="dxa"/>
            <w:vAlign w:val="bottom"/>
            <w:tcBorders>
              <w:bottom w:val="single" w:sz="8" w:color="auto"/>
            </w:tcBorders>
          </w:tcPr>
          <w:p>
            <w:pPr>
              <w:spacing w:after="0"/>
              <w:rPr>
                <w:sz w:val="16"/>
                <w:szCs w:val="16"/>
                <w:color w:val="auto"/>
              </w:rPr>
            </w:pPr>
          </w:p>
        </w:tc>
        <w:tc>
          <w:tcPr>
            <w:tcW w:w="2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99" w:lineRule="exact"/>
        <w:rPr>
          <w:sz w:val="20"/>
          <w:szCs w:val="20"/>
          <w:color w:val="auto"/>
        </w:rPr>
      </w:pPr>
    </w:p>
    <w:p>
      <w:pPr>
        <w:ind w:left="347" w:right="160" w:hanging="347"/>
        <w:spacing w:after="0" w:line="251" w:lineRule="auto"/>
        <w:tabs>
          <w:tab w:leader="none" w:pos="347"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represent the aggregate expense recognized for financial statement reporting purposes in accordance with FASB Topic ASC 718 (“ASC 718”) for stock and option awards granted to our named executive Officers. ASC 718 expense for the option awards is based on the fair value of the awards on the date of grant using an option-pricing model. The fair value of RSUs is based on the market price of our common stock on the date of grant. For more information, please see Note 4, </w:t>
      </w:r>
      <w:r>
        <w:rPr>
          <w:rFonts w:ascii="Times New Roman" w:cs="Times New Roman" w:eastAsia="Times New Roman" w:hAnsi="Times New Roman"/>
          <w:sz w:val="14"/>
          <w:szCs w:val="14"/>
          <w:i w:val="1"/>
          <w:iCs w:val="1"/>
          <w:color w:val="auto"/>
        </w:rPr>
        <w:t>Stockholders’ Equity,</w:t>
      </w:r>
      <w:r>
        <w:rPr>
          <w:rFonts w:ascii="Times New Roman" w:cs="Times New Roman" w:eastAsia="Times New Roman" w:hAnsi="Times New Roman"/>
          <w:sz w:val="14"/>
          <w:szCs w:val="14"/>
          <w:color w:val="auto"/>
        </w:rPr>
        <w:t xml:space="preserve"> of the consolidated financial statements in our Annual Report on Form 10-K for the year ended December 31, 2017 regarding assumptions underlying valuation of equity awards.</w:t>
      </w:r>
    </w:p>
    <w:p>
      <w:pPr>
        <w:spacing w:after="0" w:line="1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 and Grants of Plan-Based Awards Table</w:t>
      </w:r>
    </w:p>
    <w:p>
      <w:pPr>
        <w:spacing w:after="0" w:line="121" w:lineRule="exact"/>
        <w:rPr>
          <w:sz w:val="20"/>
          <w:szCs w:val="20"/>
          <w:color w:val="auto"/>
        </w:rPr>
      </w:pPr>
    </w:p>
    <w:p>
      <w:pPr>
        <w:jc w:val="both"/>
        <w:ind w:left="7" w:right="280"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granted merit non-statutory stock options to the executive officers on January 3, 2017. All of these stock options were granted out of our 2011 Plan. The options have a term of seven years and vest at the rate of 25% for the first year and then at the rate of 2.08% per month for 36 months thereafter during the optionee’s employment.</w:t>
      </w:r>
    </w:p>
    <w:p>
      <w:pPr>
        <w:spacing w:after="0" w:line="68" w:lineRule="exact"/>
        <w:rPr>
          <w:sz w:val="20"/>
          <w:szCs w:val="20"/>
          <w:color w:val="auto"/>
        </w:rPr>
      </w:pPr>
    </w:p>
    <w:p>
      <w:pPr>
        <w:jc w:val="both"/>
        <w:ind w:left="7" w:firstLine="360"/>
        <w:spacing w:after="0" w:line="313" w:lineRule="auto"/>
        <w:rPr>
          <w:sz w:val="20"/>
          <w:szCs w:val="20"/>
          <w:color w:val="auto"/>
        </w:rPr>
      </w:pPr>
      <w:r>
        <w:rPr>
          <w:rFonts w:ascii="Times New Roman" w:cs="Times New Roman" w:eastAsia="Times New Roman" w:hAnsi="Times New Roman"/>
          <w:sz w:val="17"/>
          <w:szCs w:val="17"/>
          <w:color w:val="auto"/>
        </w:rPr>
        <w:t>The Compensation Committee granted RSUs to the executive officers on January 15, 2017. All of these RSUs were granted out of our 2011 Plan. The RSUs vest at the rate of 25% per year over four years with a vesting commencement date of January 15, 2017.</w:t>
      </w:r>
    </w:p>
    <w:p>
      <w:pPr>
        <w:spacing w:after="0" w:line="13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50" w:name="page51"/>
    <w:bookmarkEnd w:id="50"/>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 Executive Officers.</w:t>
      </w:r>
    </w:p>
    <w:p>
      <w:pPr>
        <w:spacing w:after="0" w:line="121" w:lineRule="exact"/>
        <w:rPr>
          <w:sz w:val="20"/>
          <w:szCs w:val="20"/>
          <w:color w:val="auto"/>
        </w:rPr>
      </w:pPr>
    </w:p>
    <w:p>
      <w:pPr>
        <w:ind w:left="7" w:right="46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2017, certain information regarding outstanding equity awards at fiscal year-end for our named executive officers.</w:t>
      </w:r>
    </w:p>
    <w:p>
      <w:pPr>
        <w:spacing w:after="0" w:line="54" w:lineRule="exact"/>
        <w:rPr>
          <w:sz w:val="20"/>
          <w:szCs w:val="20"/>
          <w:color w:val="auto"/>
        </w:rPr>
      </w:pPr>
    </w:p>
    <w:p>
      <w:pPr>
        <w:ind w:left="7" w:right="480" w:firstLine="360"/>
        <w:spacing w:after="0" w:line="266" w:lineRule="auto"/>
        <w:rPr>
          <w:sz w:val="20"/>
          <w:szCs w:val="20"/>
          <w:color w:val="auto"/>
        </w:rPr>
      </w:pPr>
      <w:r>
        <w:rPr>
          <w:rFonts w:ascii="Times New Roman" w:cs="Times New Roman" w:eastAsia="Times New Roman" w:hAnsi="Times New Roman"/>
          <w:sz w:val="18"/>
          <w:szCs w:val="18"/>
          <w:color w:val="auto"/>
        </w:rPr>
        <w:t>Other than the equity awards described in the table below, there were no equity incentive plan awards outstanding for our named executive officers at December 31, 2017.</w:t>
      </w:r>
    </w:p>
    <w:p>
      <w:pPr>
        <w:spacing w:after="0" w:line="2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2017</w:t>
      </w:r>
    </w:p>
    <w:p>
      <w:pPr>
        <w:spacing w:after="0" w:line="65" w:lineRule="exact"/>
        <w:rPr>
          <w:sz w:val="20"/>
          <w:szCs w:val="20"/>
          <w:color w:val="auto"/>
        </w:rPr>
      </w:pPr>
    </w:p>
    <w:tbl>
      <w:tblPr>
        <w:tblLayout w:type="fixed"/>
        <w:tblInd w:w="17" w:type="dxa"/>
        <w:tblCellMar>
          <w:top w:w="0" w:type="dxa"/>
          <w:left w:w="0" w:type="dxa"/>
          <w:bottom w:w="0" w:type="dxa"/>
          <w:right w:w="0" w:type="dxa"/>
        </w:tblCellMar>
      </w:tblPr>
      <w:tr>
        <w:trPr>
          <w:trHeight w:val="176"/>
        </w:trPr>
        <w:tc>
          <w:tcPr>
            <w:tcW w:w="98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right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right w:val="single" w:sz="8" w:color="auto"/>
            </w:tcBorders>
          </w:tcPr>
          <w:p>
            <w:pPr>
              <w:spacing w:after="0"/>
              <w:rPr>
                <w:sz w:val="15"/>
                <w:szCs w:val="15"/>
                <w:color w:val="auto"/>
              </w:rPr>
            </w:pPr>
          </w:p>
        </w:tc>
        <w:tc>
          <w:tcPr>
            <w:tcW w:w="2740" w:type="dxa"/>
            <w:vAlign w:val="bottom"/>
            <w:tcBorders>
              <w:top w:val="single" w:sz="8" w:color="auto"/>
              <w:bottom w:val="single" w:sz="8" w:color="auto"/>
              <w:right w:val="single" w:sz="8" w:color="auto"/>
            </w:tcBorders>
            <w:gridSpan w:val="3"/>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22"/>
        </w:trPr>
        <w:tc>
          <w:tcPr>
            <w:tcW w:w="980" w:type="dxa"/>
            <w:vAlign w:val="bottom"/>
            <w:tcBorders>
              <w:left w:val="single" w:sz="8" w:color="auto"/>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15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180" w:type="dxa"/>
            <w:vAlign w:val="bottom"/>
          </w:tcPr>
          <w:p>
            <w:pPr>
              <w:spacing w:after="0"/>
              <w:rPr>
                <w:sz w:val="10"/>
                <w:szCs w:val="10"/>
                <w:color w:val="auto"/>
              </w:rPr>
            </w:pPr>
          </w:p>
        </w:tc>
        <w:tc>
          <w:tcPr>
            <w:tcW w:w="1200" w:type="dxa"/>
            <w:vAlign w:val="bottom"/>
            <w:tcBorders>
              <w:right w:val="single" w:sz="8" w:color="auto"/>
            </w:tcBorders>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Market Value of</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60" w:type="dxa"/>
            <w:vAlign w:val="bottom"/>
          </w:tcPr>
          <w:p>
            <w:pPr>
              <w:spacing w:after="0"/>
              <w:rPr>
                <w:sz w:val="11"/>
                <w:szCs w:val="11"/>
                <w:color w:val="auto"/>
              </w:rPr>
            </w:pPr>
          </w:p>
        </w:tc>
        <w:tc>
          <w:tcPr>
            <w:tcW w:w="600" w:type="dxa"/>
            <w:vAlign w:val="bottom"/>
            <w:tcBorders>
              <w:right w:val="single" w:sz="8" w:color="auto"/>
            </w:tcBorders>
          </w:tcPr>
          <w:p>
            <w:pPr>
              <w:jc w:val="center"/>
              <w:ind w:right="139"/>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 Units of Stock</w:t>
            </w:r>
          </w:p>
        </w:tc>
        <w:tc>
          <w:tcPr>
            <w:tcW w:w="180" w:type="dxa"/>
            <w:vAlign w:val="bottom"/>
          </w:tcPr>
          <w:p>
            <w:pPr>
              <w:spacing w:after="0"/>
              <w:rPr>
                <w:sz w:val="11"/>
                <w:szCs w:val="11"/>
                <w:color w:val="auto"/>
              </w:rPr>
            </w:pPr>
          </w:p>
        </w:tc>
        <w:tc>
          <w:tcPr>
            <w:tcW w:w="1200" w:type="dxa"/>
            <w:vAlign w:val="bottom"/>
            <w:tcBorders>
              <w:right w:val="single" w:sz="8" w:color="auto"/>
            </w:tcBorders>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 Units of</w:t>
            </w:r>
          </w:p>
        </w:tc>
        <w:tc>
          <w:tcPr>
            <w:tcW w:w="0" w:type="dxa"/>
            <w:vAlign w:val="bottom"/>
          </w:tcPr>
          <w:p>
            <w:pPr>
              <w:spacing w:after="0"/>
              <w:rPr>
                <w:sz w:val="1"/>
                <w:szCs w:val="1"/>
                <w:color w:val="auto"/>
              </w:rPr>
            </w:pPr>
          </w:p>
        </w:tc>
      </w:tr>
      <w:tr>
        <w:trPr>
          <w:trHeight w:val="129"/>
        </w:trPr>
        <w:tc>
          <w:tcPr>
            <w:tcW w:w="980" w:type="dxa"/>
            <w:vAlign w:val="bottom"/>
            <w:tcBorders>
              <w:left w:val="single" w:sz="8" w:color="auto"/>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Unexercised Options</w:t>
            </w:r>
          </w:p>
        </w:tc>
        <w:tc>
          <w:tcPr>
            <w:tcW w:w="154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Unexercised Options</w:t>
            </w:r>
          </w:p>
        </w:tc>
        <w:tc>
          <w:tcPr>
            <w:tcW w:w="760" w:type="dxa"/>
            <w:vAlign w:val="bottom"/>
            <w:tcBorders>
              <w:right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04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Expiration</w:t>
            </w:r>
          </w:p>
        </w:tc>
        <w:tc>
          <w:tcPr>
            <w:tcW w:w="136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180" w:type="dxa"/>
            <w:vAlign w:val="bottom"/>
          </w:tcPr>
          <w:p>
            <w:pPr>
              <w:spacing w:after="0"/>
              <w:rPr>
                <w:sz w:val="11"/>
                <w:szCs w:val="11"/>
                <w:color w:val="auto"/>
              </w:rPr>
            </w:pPr>
          </w:p>
        </w:tc>
        <w:tc>
          <w:tcPr>
            <w:tcW w:w="1200" w:type="dxa"/>
            <w:vAlign w:val="bottom"/>
            <w:tcBorders>
              <w:right w:val="single" w:sz="8" w:color="auto"/>
            </w:tcBorders>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Stock that Have</w:t>
            </w:r>
          </w:p>
        </w:tc>
        <w:tc>
          <w:tcPr>
            <w:tcW w:w="0" w:type="dxa"/>
            <w:vAlign w:val="bottom"/>
          </w:tcPr>
          <w:p>
            <w:pPr>
              <w:spacing w:after="0"/>
              <w:rPr>
                <w:sz w:val="1"/>
                <w:szCs w:val="1"/>
                <w:color w:val="auto"/>
              </w:rPr>
            </w:pPr>
          </w:p>
        </w:tc>
      </w:tr>
      <w:tr>
        <w:trPr>
          <w:trHeight w:val="175"/>
        </w:trPr>
        <w:tc>
          <w:tcPr>
            <w:tcW w:w="9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960" w:type="dxa"/>
            <w:vAlign w:val="bottom"/>
            <w:tcBorders>
              <w:bottom w:val="single" w:sz="8" w:color="auto"/>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540" w:type="dxa"/>
            <w:vAlign w:val="bottom"/>
            <w:tcBorders>
              <w:bottom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92"/>
              </w:rPr>
              <w:t xml:space="preserve">(#) Exercisable </w:t>
            </w:r>
            <w:r>
              <w:rPr>
                <w:rFonts w:ascii="Times New Roman" w:cs="Times New Roman" w:eastAsia="Times New Roman" w:hAnsi="Times New Roman"/>
                <w:sz w:val="20"/>
                <w:szCs w:val="20"/>
                <w:b w:val="1"/>
                <w:bCs w:val="1"/>
                <w:color w:val="auto"/>
                <w:w w:val="92"/>
                <w:vertAlign w:val="superscript"/>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Unexercisable</w:t>
            </w:r>
          </w:p>
        </w:tc>
        <w:tc>
          <w:tcPr>
            <w:tcW w:w="7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Price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360" w:type="dxa"/>
            <w:vAlign w:val="bottom"/>
            <w:tcBorders>
              <w:bottom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90"/>
              </w:rPr>
              <w:t>Vested</w:t>
            </w:r>
            <w:r>
              <w:rPr>
                <w:rFonts w:ascii="Times New Roman" w:cs="Times New Roman" w:eastAsia="Times New Roman" w:hAnsi="Times New Roman"/>
                <w:sz w:val="20"/>
                <w:szCs w:val="20"/>
                <w:b w:val="1"/>
                <w:bCs w:val="1"/>
                <w:color w:val="auto"/>
                <w:w w:val="90"/>
                <w:vertAlign w:val="superscript"/>
              </w:rPr>
              <w:t>(2)</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jc w:val="center"/>
              <w:ind w:right="140"/>
              <w:spacing w:after="0" w:line="175" w:lineRule="exact"/>
              <w:rPr>
                <w:sz w:val="20"/>
                <w:szCs w:val="20"/>
                <w:color w:val="auto"/>
              </w:rPr>
            </w:pPr>
            <w:r>
              <w:rPr>
                <w:rFonts w:ascii="Times New Roman" w:cs="Times New Roman" w:eastAsia="Times New Roman" w:hAnsi="Times New Roman"/>
                <w:sz w:val="13"/>
                <w:szCs w:val="13"/>
                <w:b w:val="1"/>
                <w:bCs w:val="1"/>
                <w:color w:val="auto"/>
                <w:w w:val="91"/>
              </w:rPr>
              <w:t xml:space="preserve">Not Vested </w:t>
            </w:r>
            <w:r>
              <w:rPr>
                <w:rFonts w:ascii="Times New Roman" w:cs="Times New Roman" w:eastAsia="Times New Roman" w:hAnsi="Times New Roman"/>
                <w:sz w:val="20"/>
                <w:szCs w:val="20"/>
                <w:b w:val="1"/>
                <w:bCs w:val="1"/>
                <w:color w:val="auto"/>
                <w:w w:val="91"/>
                <w:vertAlign w:val="superscript"/>
              </w:rPr>
              <w:t>(3)</w:t>
            </w:r>
            <w:r>
              <w:rPr>
                <w:rFonts w:ascii="Times New Roman" w:cs="Times New Roman" w:eastAsia="Times New Roman" w:hAnsi="Times New Roman"/>
                <w:sz w:val="13"/>
                <w:szCs w:val="13"/>
                <w:b w:val="1"/>
                <w:bCs w:val="1"/>
                <w:color w:val="auto"/>
                <w:w w:val="91"/>
              </w:rPr>
              <w:t xml:space="preserve"> ($)</w:t>
            </w:r>
          </w:p>
        </w:tc>
        <w:tc>
          <w:tcPr>
            <w:tcW w:w="0" w:type="dxa"/>
            <w:vAlign w:val="bottom"/>
          </w:tcPr>
          <w:p>
            <w:pPr>
              <w:spacing w:after="0"/>
              <w:rPr>
                <w:sz w:val="1"/>
                <w:szCs w:val="1"/>
                <w:color w:val="auto"/>
              </w:rPr>
            </w:pPr>
          </w:p>
        </w:tc>
      </w:tr>
      <w:tr>
        <w:trPr>
          <w:trHeight w:val="203"/>
        </w:trPr>
        <w:tc>
          <w:tcPr>
            <w:tcW w:w="9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Stanley</w:t>
            </w:r>
          </w:p>
        </w:tc>
        <w:tc>
          <w:tcPr>
            <w:tcW w:w="9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1/30/2013</w:t>
            </w:r>
          </w:p>
        </w:tc>
        <w:tc>
          <w:tcPr>
            <w:tcW w:w="154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66,642</w:t>
            </w:r>
          </w:p>
        </w:tc>
        <w:tc>
          <w:tcPr>
            <w:tcW w:w="1540" w:type="dxa"/>
            <w:vAlign w:val="bottom"/>
            <w:tcBorders>
              <w:bottom w:val="single" w:sz="8" w:color="CCEEFF"/>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14.69</w:t>
            </w:r>
          </w:p>
        </w:tc>
        <w:tc>
          <w:tcPr>
            <w:tcW w:w="104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1/29/2020</w:t>
            </w:r>
          </w:p>
        </w:tc>
        <w:tc>
          <w:tcPr>
            <w:tcW w:w="1360" w:type="dxa"/>
            <w:vAlign w:val="bottom"/>
            <w:tcBorders>
              <w:bottom w:val="single" w:sz="8" w:color="CCEEFF"/>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98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 Crooke</w:t>
            </w:r>
          </w:p>
        </w:tc>
        <w:tc>
          <w:tcPr>
            <w:tcW w:w="960" w:type="dxa"/>
            <w:vAlign w:val="bottom"/>
            <w:tcBorders>
              <w:right w:val="single" w:sz="8" w:color="auto"/>
            </w:tcBorders>
            <w:gridSpan w:val="2"/>
            <w:shd w:val="clear" w:color="auto" w:fill="CCEDFF"/>
          </w:tcPr>
          <w:p>
            <w:pPr>
              <w:jc w:val="right"/>
              <w:ind w:right="120"/>
              <w:spacing w:after="0"/>
              <w:rPr>
                <w:sz w:val="20"/>
                <w:szCs w:val="20"/>
                <w:color w:val="auto"/>
              </w:rPr>
            </w:pPr>
            <w:r>
              <w:rPr>
                <w:rFonts w:ascii="Times New Roman" w:cs="Times New Roman" w:eastAsia="Times New Roman" w:hAnsi="Times New Roman"/>
                <w:sz w:val="16"/>
                <w:szCs w:val="16"/>
                <w:color w:val="auto"/>
              </w:rPr>
              <w:t>1/2/2014</w:t>
            </w:r>
          </w:p>
        </w:tc>
        <w:tc>
          <w:tcPr>
            <w:tcW w:w="15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183,593</w:t>
            </w:r>
          </w:p>
        </w:tc>
        <w:tc>
          <w:tcPr>
            <w:tcW w:w="154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3,907</w:t>
            </w:r>
          </w:p>
        </w:tc>
        <w:tc>
          <w:tcPr>
            <w:tcW w:w="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DFF"/>
          </w:tcPr>
          <w:p>
            <w:pPr>
              <w:jc w:val="right"/>
              <w:ind w:right="39"/>
              <w:spacing w:after="0"/>
              <w:rPr>
                <w:sz w:val="20"/>
                <w:szCs w:val="20"/>
                <w:color w:val="auto"/>
              </w:rPr>
            </w:pPr>
            <w:r>
              <w:rPr>
                <w:rFonts w:ascii="Times New Roman" w:cs="Times New Roman" w:eastAsia="Times New Roman" w:hAnsi="Times New Roman"/>
                <w:sz w:val="16"/>
                <w:szCs w:val="16"/>
                <w:color w:val="auto"/>
              </w:rPr>
              <w:t>39.87</w:t>
            </w:r>
          </w:p>
        </w:tc>
        <w:tc>
          <w:tcPr>
            <w:tcW w:w="10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1/1/2021</w:t>
            </w:r>
          </w:p>
        </w:tc>
        <w:tc>
          <w:tcPr>
            <w:tcW w:w="136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DFF"/>
          </w:tcPr>
          <w:p>
            <w:pPr>
              <w:spacing w:after="0"/>
              <w:rPr>
                <w:sz w:val="19"/>
                <w:szCs w:val="19"/>
                <w:color w:val="auto"/>
              </w:rPr>
            </w:pPr>
          </w:p>
        </w:tc>
        <w:tc>
          <w:tcPr>
            <w:tcW w:w="120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1/2/2015</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120,312</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44,688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61.57</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1/1/2022</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DFF"/>
          </w:tcPr>
          <w:p>
            <w:pPr>
              <w:jc w:val="right"/>
              <w:ind w:right="120"/>
              <w:spacing w:after="0"/>
              <w:rPr>
                <w:sz w:val="20"/>
                <w:szCs w:val="20"/>
                <w:color w:val="auto"/>
              </w:rPr>
            </w:pPr>
            <w:r>
              <w:rPr>
                <w:rFonts w:ascii="Times New Roman" w:cs="Times New Roman" w:eastAsia="Times New Roman" w:hAnsi="Times New Roman"/>
                <w:sz w:val="16"/>
                <w:szCs w:val="16"/>
                <w:color w:val="auto"/>
              </w:rPr>
              <w:t>1/4/2016</w:t>
            </w:r>
          </w:p>
        </w:tc>
        <w:tc>
          <w:tcPr>
            <w:tcW w:w="15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93,525</w:t>
            </w:r>
          </w:p>
        </w:tc>
        <w:tc>
          <w:tcPr>
            <w:tcW w:w="154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101,657</w:t>
            </w:r>
          </w:p>
        </w:tc>
        <w:tc>
          <w:tcPr>
            <w:tcW w:w="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DFF"/>
          </w:tcPr>
          <w:p>
            <w:pPr>
              <w:jc w:val="right"/>
              <w:ind w:right="39"/>
              <w:spacing w:after="0"/>
              <w:rPr>
                <w:sz w:val="20"/>
                <w:szCs w:val="20"/>
                <w:color w:val="auto"/>
              </w:rPr>
            </w:pPr>
            <w:r>
              <w:rPr>
                <w:rFonts w:ascii="Times New Roman" w:cs="Times New Roman" w:eastAsia="Times New Roman" w:hAnsi="Times New Roman"/>
                <w:sz w:val="16"/>
                <w:szCs w:val="16"/>
                <w:color w:val="auto"/>
              </w:rPr>
              <w:t>61.68</w:t>
            </w:r>
          </w:p>
        </w:tc>
        <w:tc>
          <w:tcPr>
            <w:tcW w:w="10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1/3/2023</w:t>
            </w:r>
          </w:p>
        </w:tc>
        <w:tc>
          <w:tcPr>
            <w:tcW w:w="136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DFF"/>
          </w:tcPr>
          <w:p>
            <w:pPr>
              <w:spacing w:after="0"/>
              <w:rPr>
                <w:sz w:val="20"/>
                <w:szCs w:val="20"/>
                <w:color w:val="auto"/>
              </w:rPr>
            </w:pPr>
          </w:p>
        </w:tc>
        <w:tc>
          <w:tcPr>
            <w:tcW w:w="120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1/3/2017</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163,013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47.34</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1/2/2024</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DFF"/>
          </w:tcPr>
          <w:p>
            <w:pPr>
              <w:jc w:val="right"/>
              <w:ind w:right="120"/>
              <w:spacing w:after="0"/>
              <w:rPr>
                <w:sz w:val="20"/>
                <w:szCs w:val="20"/>
                <w:color w:val="auto"/>
              </w:rPr>
            </w:pPr>
            <w:r>
              <w:rPr>
                <w:rFonts w:ascii="Times New Roman" w:cs="Times New Roman" w:eastAsia="Times New Roman" w:hAnsi="Times New Roman"/>
                <w:sz w:val="16"/>
                <w:szCs w:val="16"/>
                <w:color w:val="auto"/>
              </w:rPr>
              <w:t>1/15/2014</w:t>
            </w:r>
          </w:p>
        </w:tc>
        <w:tc>
          <w:tcPr>
            <w:tcW w:w="15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DFF"/>
          </w:tcPr>
          <w:p>
            <w:pPr>
              <w:spacing w:after="0"/>
              <w:rPr>
                <w:sz w:val="20"/>
                <w:szCs w:val="20"/>
                <w:color w:val="auto"/>
              </w:rPr>
            </w:pPr>
          </w:p>
        </w:tc>
        <w:tc>
          <w:tcPr>
            <w:tcW w:w="600" w:type="dxa"/>
            <w:vAlign w:val="bottom"/>
            <w:tcBorders>
              <w:right w:val="single" w:sz="8" w:color="auto"/>
            </w:tcBorders>
            <w:shd w:val="clear" w:color="auto" w:fill="CCED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7,812</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392,944</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1/15/2015</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13,750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691,625</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DFF"/>
          </w:tcPr>
          <w:p>
            <w:pPr>
              <w:jc w:val="right"/>
              <w:ind w:right="120"/>
              <w:spacing w:after="0"/>
              <w:rPr>
                <w:sz w:val="20"/>
                <w:szCs w:val="20"/>
                <w:color w:val="auto"/>
              </w:rPr>
            </w:pPr>
            <w:r>
              <w:rPr>
                <w:rFonts w:ascii="Times New Roman" w:cs="Times New Roman" w:eastAsia="Times New Roman" w:hAnsi="Times New Roman"/>
                <w:sz w:val="16"/>
                <w:szCs w:val="16"/>
                <w:color w:val="auto"/>
              </w:rPr>
              <w:t>1/15/2016</w:t>
            </w:r>
          </w:p>
        </w:tc>
        <w:tc>
          <w:tcPr>
            <w:tcW w:w="15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DFF"/>
          </w:tcPr>
          <w:p>
            <w:pPr>
              <w:spacing w:after="0"/>
              <w:rPr>
                <w:sz w:val="20"/>
                <w:szCs w:val="20"/>
                <w:color w:val="auto"/>
              </w:rPr>
            </w:pPr>
          </w:p>
        </w:tc>
        <w:tc>
          <w:tcPr>
            <w:tcW w:w="600" w:type="dxa"/>
            <w:vAlign w:val="bottom"/>
            <w:tcBorders>
              <w:right w:val="single" w:sz="8" w:color="auto"/>
            </w:tcBorders>
            <w:shd w:val="clear" w:color="auto" w:fill="CCED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24,397</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1,227,169</w:t>
            </w:r>
          </w:p>
        </w:tc>
        <w:tc>
          <w:tcPr>
            <w:tcW w:w="0" w:type="dxa"/>
            <w:vAlign w:val="bottom"/>
          </w:tcPr>
          <w:p>
            <w:pPr>
              <w:spacing w:after="0"/>
              <w:rPr>
                <w:sz w:val="1"/>
                <w:szCs w:val="1"/>
                <w:color w:val="auto"/>
              </w:rPr>
            </w:pPr>
          </w:p>
        </w:tc>
      </w:tr>
      <w:tr>
        <w:trPr>
          <w:trHeight w:val="223"/>
        </w:trPr>
        <w:tc>
          <w:tcPr>
            <w:tcW w:w="9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1/15/2017</w:t>
            </w:r>
          </w:p>
        </w:tc>
        <w:tc>
          <w:tcPr>
            <w:tcW w:w="154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27,168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1,366,550</w:t>
            </w:r>
          </w:p>
        </w:tc>
        <w:tc>
          <w:tcPr>
            <w:tcW w:w="0" w:type="dxa"/>
            <w:vAlign w:val="bottom"/>
          </w:tcPr>
          <w:p>
            <w:pPr>
              <w:spacing w:after="0"/>
              <w:rPr>
                <w:sz w:val="1"/>
                <w:szCs w:val="1"/>
                <w:color w:val="auto"/>
              </w:rPr>
            </w:pPr>
          </w:p>
        </w:tc>
      </w:tr>
      <w:tr>
        <w:trPr>
          <w:trHeight w:val="202"/>
        </w:trPr>
        <w:tc>
          <w:tcPr>
            <w:tcW w:w="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Elizabeth L.</w:t>
            </w:r>
          </w:p>
        </w:tc>
        <w:tc>
          <w:tcPr>
            <w:tcW w:w="9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1/3/2012</w:t>
            </w:r>
          </w:p>
        </w:tc>
        <w:tc>
          <w:tcPr>
            <w:tcW w:w="15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4,063</w:t>
            </w:r>
          </w:p>
        </w:tc>
        <w:tc>
          <w:tcPr>
            <w:tcW w:w="154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7.25</w:t>
            </w:r>
          </w:p>
        </w:tc>
        <w:tc>
          <w:tcPr>
            <w:tcW w:w="10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1/2/2019</w:t>
            </w:r>
          </w:p>
        </w:tc>
        <w:tc>
          <w:tcPr>
            <w:tcW w:w="136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9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Hougen</w:t>
            </w:r>
          </w:p>
        </w:tc>
        <w:tc>
          <w:tcPr>
            <w:tcW w:w="4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Borders>
              <w:left w:val="single" w:sz="8" w:color="auto"/>
              <w:right w:val="single" w:sz="8" w:color="auto"/>
            </w:tcBorders>
            <w:vMerge w:val="continue"/>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1/2/2013</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15,700</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10.82</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1/1/2020</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tcPr>
          <w:p>
            <w:pPr>
              <w:spacing w:after="0"/>
              <w:rPr>
                <w:sz w:val="19"/>
                <w:szCs w:val="19"/>
                <w:color w:val="auto"/>
              </w:rPr>
            </w:pPr>
          </w:p>
        </w:tc>
        <w:tc>
          <w:tcPr>
            <w:tcW w:w="9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1/2/2013</w:t>
            </w:r>
          </w:p>
        </w:tc>
        <w:tc>
          <w:tcPr>
            <w:tcW w:w="15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7,500</w:t>
            </w:r>
          </w:p>
        </w:tc>
        <w:tc>
          <w:tcPr>
            <w:tcW w:w="154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10.82</w:t>
            </w:r>
          </w:p>
        </w:tc>
        <w:tc>
          <w:tcPr>
            <w:tcW w:w="10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1/1/2020</w:t>
            </w:r>
          </w:p>
        </w:tc>
        <w:tc>
          <w:tcPr>
            <w:tcW w:w="136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0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1/2/2014</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44,062</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39.87</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1/1/2021</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tcPr>
          <w:p>
            <w:pPr>
              <w:spacing w:after="0"/>
              <w:rPr>
                <w:sz w:val="19"/>
                <w:szCs w:val="19"/>
                <w:color w:val="auto"/>
              </w:rPr>
            </w:pPr>
          </w:p>
        </w:tc>
        <w:tc>
          <w:tcPr>
            <w:tcW w:w="9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1/2/2015</w:t>
            </w:r>
          </w:p>
        </w:tc>
        <w:tc>
          <w:tcPr>
            <w:tcW w:w="15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24,144</w:t>
            </w:r>
          </w:p>
        </w:tc>
        <w:tc>
          <w:tcPr>
            <w:tcW w:w="154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8,968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61.57</w:t>
            </w:r>
          </w:p>
        </w:tc>
        <w:tc>
          <w:tcPr>
            <w:tcW w:w="10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1/1/2022</w:t>
            </w:r>
          </w:p>
        </w:tc>
        <w:tc>
          <w:tcPr>
            <w:tcW w:w="136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0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1/4/2016</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18,323</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19,917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61.68</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1/3/2023</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tcPr>
          <w:p>
            <w:pPr>
              <w:spacing w:after="0"/>
              <w:rPr>
                <w:sz w:val="19"/>
                <w:szCs w:val="19"/>
                <w:color w:val="auto"/>
              </w:rPr>
            </w:pPr>
          </w:p>
        </w:tc>
        <w:tc>
          <w:tcPr>
            <w:tcW w:w="9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1/3/2017</w:t>
            </w:r>
          </w:p>
        </w:tc>
        <w:tc>
          <w:tcPr>
            <w:tcW w:w="15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45,225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47.34</w:t>
            </w:r>
          </w:p>
        </w:tc>
        <w:tc>
          <w:tcPr>
            <w:tcW w:w="10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1/2/2024</w:t>
            </w:r>
          </w:p>
        </w:tc>
        <w:tc>
          <w:tcPr>
            <w:tcW w:w="136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0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1/15/2014</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94,313</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tcPr>
          <w:p>
            <w:pPr>
              <w:spacing w:after="0"/>
              <w:rPr>
                <w:sz w:val="19"/>
                <w:szCs w:val="19"/>
                <w:color w:val="auto"/>
              </w:rPr>
            </w:pPr>
          </w:p>
        </w:tc>
        <w:tc>
          <w:tcPr>
            <w:tcW w:w="9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1/15/2015</w:t>
            </w:r>
          </w:p>
        </w:tc>
        <w:tc>
          <w:tcPr>
            <w:tcW w:w="15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2,758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138,727</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1/15/2016</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4,779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240,384</w:t>
            </w:r>
          </w:p>
        </w:tc>
        <w:tc>
          <w:tcPr>
            <w:tcW w:w="0" w:type="dxa"/>
            <w:vAlign w:val="bottom"/>
          </w:tcPr>
          <w:p>
            <w:pPr>
              <w:spacing w:after="0"/>
              <w:rPr>
                <w:sz w:val="1"/>
                <w:szCs w:val="1"/>
                <w:color w:val="auto"/>
              </w:rPr>
            </w:pPr>
          </w:p>
        </w:tc>
      </w:tr>
      <w:tr>
        <w:trPr>
          <w:trHeight w:val="223"/>
        </w:trPr>
        <w:tc>
          <w:tcPr>
            <w:tcW w:w="980" w:type="dxa"/>
            <w:vAlign w:val="bottom"/>
            <w:tcBorders>
              <w:left w:val="single" w:sz="8" w:color="auto"/>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1/15/2017</w:t>
            </w:r>
          </w:p>
        </w:tc>
        <w:tc>
          <w:tcPr>
            <w:tcW w:w="154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7,537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379,111</w:t>
            </w:r>
          </w:p>
        </w:tc>
        <w:tc>
          <w:tcPr>
            <w:tcW w:w="0" w:type="dxa"/>
            <w:vAlign w:val="bottom"/>
          </w:tcPr>
          <w:p>
            <w:pPr>
              <w:spacing w:after="0"/>
              <w:rPr>
                <w:sz w:val="1"/>
                <w:szCs w:val="1"/>
                <w:color w:val="auto"/>
              </w:rPr>
            </w:pPr>
          </w:p>
        </w:tc>
      </w:tr>
      <w:tr>
        <w:trPr>
          <w:trHeight w:val="210"/>
        </w:trPr>
        <w:tc>
          <w:tcPr>
            <w:tcW w:w="9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 Lynne</w:t>
            </w:r>
          </w:p>
        </w:tc>
        <w:tc>
          <w:tcPr>
            <w:tcW w:w="960" w:type="dxa"/>
            <w:vAlign w:val="bottom"/>
            <w:tcBorders>
              <w:bottom w:val="single" w:sz="8" w:color="CCEEFF"/>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1/2/2014</w:t>
            </w:r>
          </w:p>
        </w:tc>
        <w:tc>
          <w:tcPr>
            <w:tcW w:w="154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72,448</w:t>
            </w:r>
          </w:p>
        </w:tc>
        <w:tc>
          <w:tcPr>
            <w:tcW w:w="1540" w:type="dxa"/>
            <w:vAlign w:val="bottom"/>
            <w:tcBorders>
              <w:bottom w:val="single" w:sz="8" w:color="CCEEFF"/>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39.87</w:t>
            </w:r>
          </w:p>
        </w:tc>
        <w:tc>
          <w:tcPr>
            <w:tcW w:w="104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1/1/2021</w:t>
            </w:r>
          </w:p>
        </w:tc>
        <w:tc>
          <w:tcPr>
            <w:tcW w:w="1360" w:type="dxa"/>
            <w:vAlign w:val="bottom"/>
            <w:tcBorders>
              <w:bottom w:val="single" w:sz="8" w:color="CCEEFF"/>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98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Parshall</w:t>
            </w:r>
          </w:p>
        </w:tc>
        <w:tc>
          <w:tcPr>
            <w:tcW w:w="960" w:type="dxa"/>
            <w:vAlign w:val="bottom"/>
            <w:tcBorders>
              <w:right w:val="single" w:sz="8" w:color="auto"/>
            </w:tcBorders>
            <w:gridSpan w:val="2"/>
            <w:shd w:val="clear" w:color="auto" w:fill="CCEDFF"/>
          </w:tcPr>
          <w:p>
            <w:pPr>
              <w:jc w:val="right"/>
              <w:ind w:right="120"/>
              <w:spacing w:after="0"/>
              <w:rPr>
                <w:sz w:val="20"/>
                <w:szCs w:val="20"/>
                <w:color w:val="auto"/>
              </w:rPr>
            </w:pPr>
            <w:r>
              <w:rPr>
                <w:rFonts w:ascii="Times New Roman" w:cs="Times New Roman" w:eastAsia="Times New Roman" w:hAnsi="Times New Roman"/>
                <w:sz w:val="16"/>
                <w:szCs w:val="16"/>
                <w:color w:val="auto"/>
              </w:rPr>
              <w:t>1/2/2015</w:t>
            </w:r>
          </w:p>
        </w:tc>
        <w:tc>
          <w:tcPr>
            <w:tcW w:w="15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96,584</w:t>
            </w:r>
          </w:p>
        </w:tc>
        <w:tc>
          <w:tcPr>
            <w:tcW w:w="154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35,874</w:t>
            </w:r>
          </w:p>
        </w:tc>
        <w:tc>
          <w:tcPr>
            <w:tcW w:w="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DFF"/>
          </w:tcPr>
          <w:p>
            <w:pPr>
              <w:jc w:val="right"/>
              <w:ind w:right="39"/>
              <w:spacing w:after="0"/>
              <w:rPr>
                <w:sz w:val="20"/>
                <w:szCs w:val="20"/>
                <w:color w:val="auto"/>
              </w:rPr>
            </w:pPr>
            <w:r>
              <w:rPr>
                <w:rFonts w:ascii="Times New Roman" w:cs="Times New Roman" w:eastAsia="Times New Roman" w:hAnsi="Times New Roman"/>
                <w:sz w:val="16"/>
                <w:szCs w:val="16"/>
                <w:color w:val="auto"/>
              </w:rPr>
              <w:t>61.57</w:t>
            </w:r>
          </w:p>
        </w:tc>
        <w:tc>
          <w:tcPr>
            <w:tcW w:w="10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1/1/2022</w:t>
            </w:r>
          </w:p>
        </w:tc>
        <w:tc>
          <w:tcPr>
            <w:tcW w:w="136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DFF"/>
          </w:tcPr>
          <w:p>
            <w:pPr>
              <w:spacing w:after="0"/>
              <w:rPr>
                <w:sz w:val="19"/>
                <w:szCs w:val="19"/>
                <w:color w:val="auto"/>
              </w:rPr>
            </w:pPr>
          </w:p>
        </w:tc>
        <w:tc>
          <w:tcPr>
            <w:tcW w:w="120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1/4/2016</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51,534</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56,015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61.68</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1/3/2023</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DFF"/>
          </w:tcPr>
          <w:p>
            <w:pPr>
              <w:jc w:val="right"/>
              <w:ind w:right="120"/>
              <w:spacing w:after="0"/>
              <w:rPr>
                <w:sz w:val="20"/>
                <w:szCs w:val="20"/>
                <w:color w:val="auto"/>
              </w:rPr>
            </w:pPr>
            <w:r>
              <w:rPr>
                <w:rFonts w:ascii="Times New Roman" w:cs="Times New Roman" w:eastAsia="Times New Roman" w:hAnsi="Times New Roman"/>
                <w:sz w:val="16"/>
                <w:szCs w:val="16"/>
                <w:color w:val="auto"/>
              </w:rPr>
              <w:t>1/3/2017</w:t>
            </w:r>
          </w:p>
        </w:tc>
        <w:tc>
          <w:tcPr>
            <w:tcW w:w="15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117,638</w:t>
            </w:r>
          </w:p>
        </w:tc>
        <w:tc>
          <w:tcPr>
            <w:tcW w:w="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DFF"/>
          </w:tcPr>
          <w:p>
            <w:pPr>
              <w:jc w:val="right"/>
              <w:ind w:right="39"/>
              <w:spacing w:after="0"/>
              <w:rPr>
                <w:sz w:val="20"/>
                <w:szCs w:val="20"/>
                <w:color w:val="auto"/>
              </w:rPr>
            </w:pPr>
            <w:r>
              <w:rPr>
                <w:rFonts w:ascii="Times New Roman" w:cs="Times New Roman" w:eastAsia="Times New Roman" w:hAnsi="Times New Roman"/>
                <w:sz w:val="16"/>
                <w:szCs w:val="16"/>
                <w:color w:val="auto"/>
              </w:rPr>
              <w:t>47.34</w:t>
            </w:r>
          </w:p>
        </w:tc>
        <w:tc>
          <w:tcPr>
            <w:tcW w:w="10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1/2/2024</w:t>
            </w:r>
          </w:p>
        </w:tc>
        <w:tc>
          <w:tcPr>
            <w:tcW w:w="136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DFF"/>
          </w:tcPr>
          <w:p>
            <w:pPr>
              <w:spacing w:after="0"/>
              <w:rPr>
                <w:sz w:val="20"/>
                <w:szCs w:val="20"/>
                <w:color w:val="auto"/>
              </w:rPr>
            </w:pPr>
          </w:p>
        </w:tc>
        <w:tc>
          <w:tcPr>
            <w:tcW w:w="120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1/15/2014</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172,881</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DFF"/>
          </w:tcPr>
          <w:p>
            <w:pPr>
              <w:jc w:val="right"/>
              <w:ind w:right="120"/>
              <w:spacing w:after="0"/>
              <w:rPr>
                <w:sz w:val="20"/>
                <w:szCs w:val="20"/>
                <w:color w:val="auto"/>
              </w:rPr>
            </w:pPr>
            <w:r>
              <w:rPr>
                <w:rFonts w:ascii="Times New Roman" w:cs="Times New Roman" w:eastAsia="Times New Roman" w:hAnsi="Times New Roman"/>
                <w:sz w:val="16"/>
                <w:szCs w:val="16"/>
                <w:color w:val="auto"/>
              </w:rPr>
              <w:t>1/15/2015</w:t>
            </w:r>
          </w:p>
        </w:tc>
        <w:tc>
          <w:tcPr>
            <w:tcW w:w="15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DFF"/>
          </w:tcPr>
          <w:p>
            <w:pPr>
              <w:spacing w:after="0"/>
              <w:rPr>
                <w:sz w:val="20"/>
                <w:szCs w:val="20"/>
                <w:color w:val="auto"/>
              </w:rPr>
            </w:pPr>
          </w:p>
        </w:tc>
        <w:tc>
          <w:tcPr>
            <w:tcW w:w="600" w:type="dxa"/>
            <w:vAlign w:val="bottom"/>
            <w:tcBorders>
              <w:right w:val="single" w:sz="8" w:color="auto"/>
            </w:tcBorders>
            <w:shd w:val="clear" w:color="auto" w:fill="CCED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11,038</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555,211</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1/15/2016</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13,443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676,183</w:t>
            </w:r>
          </w:p>
        </w:tc>
        <w:tc>
          <w:tcPr>
            <w:tcW w:w="0" w:type="dxa"/>
            <w:vAlign w:val="bottom"/>
          </w:tcPr>
          <w:p>
            <w:pPr>
              <w:spacing w:after="0"/>
              <w:rPr>
                <w:sz w:val="1"/>
                <w:szCs w:val="1"/>
                <w:color w:val="auto"/>
              </w:rPr>
            </w:pPr>
          </w:p>
        </w:tc>
      </w:tr>
      <w:tr>
        <w:trPr>
          <w:trHeight w:val="233"/>
        </w:trPr>
        <w:tc>
          <w:tcPr>
            <w:tcW w:w="9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gridSpan w:val="2"/>
            <w:shd w:val="clear" w:color="auto" w:fill="CCEDFF"/>
          </w:tcPr>
          <w:p>
            <w:pPr>
              <w:jc w:val="right"/>
              <w:ind w:right="120"/>
              <w:spacing w:after="0"/>
              <w:rPr>
                <w:sz w:val="20"/>
                <w:szCs w:val="20"/>
                <w:color w:val="auto"/>
              </w:rPr>
            </w:pPr>
            <w:r>
              <w:rPr>
                <w:rFonts w:ascii="Times New Roman" w:cs="Times New Roman" w:eastAsia="Times New Roman" w:hAnsi="Times New Roman"/>
                <w:sz w:val="16"/>
                <w:szCs w:val="16"/>
                <w:color w:val="auto"/>
              </w:rPr>
              <w:t>1/15/2017</w:t>
            </w:r>
          </w:p>
        </w:tc>
        <w:tc>
          <w:tcPr>
            <w:tcW w:w="1540" w:type="dxa"/>
            <w:vAlign w:val="bottom"/>
            <w:tcBorders>
              <w:bottom w:val="single" w:sz="8" w:color="auto"/>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DFF"/>
          </w:tcPr>
          <w:p>
            <w:pPr>
              <w:spacing w:after="0"/>
              <w:rPr>
                <w:sz w:val="20"/>
                <w:szCs w:val="20"/>
                <w:color w:val="auto"/>
              </w:rPr>
            </w:pPr>
          </w:p>
        </w:tc>
        <w:tc>
          <w:tcPr>
            <w:tcW w:w="600" w:type="dxa"/>
            <w:vAlign w:val="bottom"/>
            <w:tcBorders>
              <w:bottom w:val="single" w:sz="8" w:color="auto"/>
              <w:right w:val="single" w:sz="8" w:color="auto"/>
            </w:tcBorders>
            <w:shd w:val="clear" w:color="auto" w:fill="CCED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19,606</w:t>
            </w:r>
          </w:p>
        </w:tc>
        <w:tc>
          <w:tcPr>
            <w:tcW w:w="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986,182</w:t>
            </w:r>
          </w:p>
        </w:tc>
        <w:tc>
          <w:tcPr>
            <w:tcW w:w="0" w:type="dxa"/>
            <w:vAlign w:val="bottom"/>
          </w:tcPr>
          <w:p>
            <w:pPr>
              <w:spacing w:after="0"/>
              <w:rPr>
                <w:sz w:val="1"/>
                <w:szCs w:val="1"/>
                <w:color w:val="auto"/>
              </w:rPr>
            </w:pPr>
          </w:p>
        </w:tc>
      </w:tr>
      <w:tr>
        <w:trPr>
          <w:trHeight w:val="230"/>
        </w:trPr>
        <w:tc>
          <w:tcPr>
            <w:tcW w:w="98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Brett Monia</w:t>
            </w: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1/1/2012</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7,500</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7.21</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12/31/2018</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1/3/2012</w:t>
            </w:r>
          </w:p>
        </w:tc>
        <w:tc>
          <w:tcPr>
            <w:tcW w:w="15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8,993</w:t>
            </w:r>
          </w:p>
        </w:tc>
        <w:tc>
          <w:tcPr>
            <w:tcW w:w="154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7.25</w:t>
            </w:r>
          </w:p>
        </w:tc>
        <w:tc>
          <w:tcPr>
            <w:tcW w:w="10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1/2/2019</w:t>
            </w:r>
          </w:p>
        </w:tc>
        <w:tc>
          <w:tcPr>
            <w:tcW w:w="136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0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1/30/2013</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34,000</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14.69</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1/29/2020</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1/2/2014</w:t>
            </w:r>
          </w:p>
        </w:tc>
        <w:tc>
          <w:tcPr>
            <w:tcW w:w="15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44,062</w:t>
            </w:r>
          </w:p>
        </w:tc>
        <w:tc>
          <w:tcPr>
            <w:tcW w:w="154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938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39.87</w:t>
            </w:r>
          </w:p>
        </w:tc>
        <w:tc>
          <w:tcPr>
            <w:tcW w:w="10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1/1/2021</w:t>
            </w:r>
          </w:p>
        </w:tc>
        <w:tc>
          <w:tcPr>
            <w:tcW w:w="136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0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1/2/2015</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26,559</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9,864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61.57</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1/1/2022</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1/4/2016</w:t>
            </w:r>
          </w:p>
        </w:tc>
        <w:tc>
          <w:tcPr>
            <w:tcW w:w="15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18,323</w:t>
            </w:r>
          </w:p>
        </w:tc>
        <w:tc>
          <w:tcPr>
            <w:tcW w:w="154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19,917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61.68</w:t>
            </w:r>
          </w:p>
        </w:tc>
        <w:tc>
          <w:tcPr>
            <w:tcW w:w="10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1/3/2023</w:t>
            </w:r>
          </w:p>
        </w:tc>
        <w:tc>
          <w:tcPr>
            <w:tcW w:w="136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0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1/3/2017</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48,000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47.34</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1/2/2024</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1/15/2014</w:t>
            </w:r>
          </w:p>
        </w:tc>
        <w:tc>
          <w:tcPr>
            <w:tcW w:w="15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1,875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94,313</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1/15/2015</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152,610</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shd w:val="clear" w:color="auto" w:fill="CCEEFF"/>
          </w:tcPr>
          <w:p>
            <w:pPr>
              <w:spacing w:after="0"/>
              <w:rPr>
                <w:sz w:val="19"/>
                <w:szCs w:val="19"/>
                <w:color w:val="auto"/>
              </w:rPr>
            </w:pPr>
          </w:p>
        </w:tc>
        <w:tc>
          <w:tcPr>
            <w:tcW w:w="9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1/15/2016</w:t>
            </w:r>
          </w:p>
        </w:tc>
        <w:tc>
          <w:tcPr>
            <w:tcW w:w="15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4,779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204,384</w:t>
            </w:r>
          </w:p>
        </w:tc>
        <w:tc>
          <w:tcPr>
            <w:tcW w:w="0" w:type="dxa"/>
            <w:vAlign w:val="bottom"/>
          </w:tcPr>
          <w:p>
            <w:pPr>
              <w:spacing w:after="0"/>
              <w:rPr>
                <w:sz w:val="1"/>
                <w:szCs w:val="1"/>
                <w:color w:val="auto"/>
              </w:rPr>
            </w:pPr>
          </w:p>
        </w:tc>
      </w:tr>
      <w:tr>
        <w:trPr>
          <w:trHeight w:val="233"/>
        </w:trPr>
        <w:tc>
          <w:tcPr>
            <w:tcW w:w="9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1/15/2017</w:t>
            </w:r>
          </w:p>
        </w:tc>
        <w:tc>
          <w:tcPr>
            <w:tcW w:w="154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402,400</w:t>
            </w:r>
          </w:p>
        </w:tc>
        <w:tc>
          <w:tcPr>
            <w:tcW w:w="0" w:type="dxa"/>
            <w:vAlign w:val="bottom"/>
          </w:tcPr>
          <w:p>
            <w:pPr>
              <w:spacing w:after="0"/>
              <w:rPr>
                <w:sz w:val="1"/>
                <w:szCs w:val="1"/>
                <w:color w:val="auto"/>
              </w:rPr>
            </w:pPr>
          </w:p>
        </w:tc>
      </w:tr>
      <w:tr>
        <w:trPr>
          <w:trHeight w:val="210"/>
        </w:trPr>
        <w:tc>
          <w:tcPr>
            <w:tcW w:w="980" w:type="dxa"/>
            <w:vAlign w:val="bottom"/>
            <w:tcBorders>
              <w:left w:val="single" w:sz="8" w:color="auto"/>
              <w:bottom w:val="single" w:sz="8" w:color="CCEDFF"/>
              <w:right w:val="single" w:sz="8" w:color="auto"/>
            </w:tcBorders>
            <w:shd w:val="clear" w:color="auto" w:fill="CCEDFF"/>
          </w:tcPr>
          <w:p>
            <w:pPr>
              <w:ind w:left="60"/>
              <w:spacing w:after="0"/>
              <w:rPr>
                <w:sz w:val="20"/>
                <w:szCs w:val="20"/>
                <w:color w:val="auto"/>
              </w:rPr>
            </w:pPr>
            <w:r>
              <w:rPr>
                <w:rFonts w:ascii="Times New Roman" w:cs="Times New Roman" w:eastAsia="Times New Roman" w:hAnsi="Times New Roman"/>
                <w:sz w:val="16"/>
                <w:szCs w:val="16"/>
                <w:color w:val="auto"/>
              </w:rPr>
              <w:t>Richard</w:t>
            </w:r>
          </w:p>
        </w:tc>
        <w:tc>
          <w:tcPr>
            <w:tcW w:w="960" w:type="dxa"/>
            <w:vAlign w:val="bottom"/>
            <w:tcBorders>
              <w:bottom w:val="single" w:sz="8" w:color="CCEDFF"/>
              <w:right w:val="single" w:sz="8" w:color="auto"/>
            </w:tcBorders>
            <w:gridSpan w:val="2"/>
            <w:shd w:val="clear" w:color="auto" w:fill="CCEDFF"/>
          </w:tcPr>
          <w:p>
            <w:pPr>
              <w:jc w:val="right"/>
              <w:ind w:right="120"/>
              <w:spacing w:after="0"/>
              <w:rPr>
                <w:sz w:val="20"/>
                <w:szCs w:val="20"/>
                <w:color w:val="auto"/>
              </w:rPr>
            </w:pPr>
            <w:r>
              <w:rPr>
                <w:rFonts w:ascii="Times New Roman" w:cs="Times New Roman" w:eastAsia="Times New Roman" w:hAnsi="Times New Roman"/>
                <w:sz w:val="16"/>
                <w:szCs w:val="16"/>
                <w:color w:val="auto"/>
              </w:rPr>
              <w:t>1/30/2013</w:t>
            </w:r>
          </w:p>
        </w:tc>
        <w:tc>
          <w:tcPr>
            <w:tcW w:w="1540" w:type="dxa"/>
            <w:vAlign w:val="bottom"/>
            <w:tcBorders>
              <w:bottom w:val="single" w:sz="8" w:color="CCEDFF"/>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17,240</w:t>
            </w:r>
          </w:p>
        </w:tc>
        <w:tc>
          <w:tcPr>
            <w:tcW w:w="1540" w:type="dxa"/>
            <w:vAlign w:val="bottom"/>
            <w:tcBorders>
              <w:bottom w:val="single" w:sz="8" w:color="CCEDFF"/>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DFF"/>
              <w:right w:val="single" w:sz="8" w:color="auto"/>
            </w:tcBorders>
            <w:shd w:val="clear" w:color="auto" w:fill="CCEDFF"/>
          </w:tcPr>
          <w:p>
            <w:pPr>
              <w:jc w:val="right"/>
              <w:ind w:right="39"/>
              <w:spacing w:after="0"/>
              <w:rPr>
                <w:sz w:val="20"/>
                <w:szCs w:val="20"/>
                <w:color w:val="auto"/>
              </w:rPr>
            </w:pPr>
            <w:r>
              <w:rPr>
                <w:rFonts w:ascii="Times New Roman" w:cs="Times New Roman" w:eastAsia="Times New Roman" w:hAnsi="Times New Roman"/>
                <w:sz w:val="16"/>
                <w:szCs w:val="16"/>
                <w:color w:val="auto"/>
              </w:rPr>
              <w:t>14.69</w:t>
            </w:r>
          </w:p>
        </w:tc>
        <w:tc>
          <w:tcPr>
            <w:tcW w:w="1040" w:type="dxa"/>
            <w:vAlign w:val="bottom"/>
            <w:tcBorders>
              <w:bottom w:val="single" w:sz="8" w:color="CCEDFF"/>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1/29/2020</w:t>
            </w:r>
          </w:p>
        </w:tc>
        <w:tc>
          <w:tcPr>
            <w:tcW w:w="1360" w:type="dxa"/>
            <w:vAlign w:val="bottom"/>
            <w:tcBorders>
              <w:bottom w:val="single" w:sz="8" w:color="CCEDFF"/>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DFF"/>
            </w:tcBorders>
            <w:shd w:val="clear" w:color="auto" w:fill="CCEDFF"/>
          </w:tcPr>
          <w:p>
            <w:pPr>
              <w:spacing w:after="0"/>
              <w:rPr>
                <w:sz w:val="18"/>
                <w:szCs w:val="18"/>
                <w:color w:val="auto"/>
              </w:rPr>
            </w:pPr>
          </w:p>
        </w:tc>
        <w:tc>
          <w:tcPr>
            <w:tcW w:w="1200" w:type="dxa"/>
            <w:vAlign w:val="bottom"/>
            <w:tcBorders>
              <w:bottom w:val="single" w:sz="8" w:color="CCEDFF"/>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shd w:val="clear" w:color="auto" w:fill="CCEDFF"/>
          </w:tcPr>
          <w:p>
            <w:pPr>
              <w:ind w:left="60"/>
              <w:spacing w:after="0"/>
              <w:rPr>
                <w:sz w:val="20"/>
                <w:szCs w:val="20"/>
                <w:color w:val="auto"/>
              </w:rPr>
            </w:pPr>
            <w:r>
              <w:rPr>
                <w:rFonts w:ascii="Times New Roman" w:cs="Times New Roman" w:eastAsia="Times New Roman" w:hAnsi="Times New Roman"/>
                <w:sz w:val="16"/>
                <w:szCs w:val="16"/>
                <w:color w:val="auto"/>
              </w:rPr>
              <w:t>Geary</w:t>
            </w: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1/2/2014</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44,062</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39.87</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1/1/2021</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shd w:val="clear" w:color="auto" w:fill="CCEDFF"/>
          </w:tcPr>
          <w:p>
            <w:pPr>
              <w:spacing w:after="0"/>
              <w:rPr>
                <w:sz w:val="20"/>
                <w:szCs w:val="20"/>
                <w:color w:val="auto"/>
              </w:rPr>
            </w:pPr>
          </w:p>
        </w:tc>
        <w:tc>
          <w:tcPr>
            <w:tcW w:w="960" w:type="dxa"/>
            <w:vAlign w:val="bottom"/>
            <w:tcBorders>
              <w:right w:val="single" w:sz="8" w:color="auto"/>
            </w:tcBorders>
            <w:gridSpan w:val="2"/>
            <w:shd w:val="clear" w:color="auto" w:fill="CCEDFF"/>
          </w:tcPr>
          <w:p>
            <w:pPr>
              <w:jc w:val="right"/>
              <w:ind w:right="120"/>
              <w:spacing w:after="0"/>
              <w:rPr>
                <w:sz w:val="20"/>
                <w:szCs w:val="20"/>
                <w:color w:val="auto"/>
              </w:rPr>
            </w:pPr>
            <w:r>
              <w:rPr>
                <w:rFonts w:ascii="Times New Roman" w:cs="Times New Roman" w:eastAsia="Times New Roman" w:hAnsi="Times New Roman"/>
                <w:sz w:val="16"/>
                <w:szCs w:val="16"/>
                <w:color w:val="auto"/>
              </w:rPr>
              <w:t>1/2/2015</w:t>
            </w:r>
          </w:p>
        </w:tc>
        <w:tc>
          <w:tcPr>
            <w:tcW w:w="15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24,114</w:t>
            </w:r>
          </w:p>
        </w:tc>
        <w:tc>
          <w:tcPr>
            <w:tcW w:w="154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8,968</w:t>
            </w:r>
          </w:p>
        </w:tc>
        <w:tc>
          <w:tcPr>
            <w:tcW w:w="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DFF"/>
          </w:tcPr>
          <w:p>
            <w:pPr>
              <w:jc w:val="right"/>
              <w:ind w:right="39"/>
              <w:spacing w:after="0"/>
              <w:rPr>
                <w:sz w:val="20"/>
                <w:szCs w:val="20"/>
                <w:color w:val="auto"/>
              </w:rPr>
            </w:pPr>
            <w:r>
              <w:rPr>
                <w:rFonts w:ascii="Times New Roman" w:cs="Times New Roman" w:eastAsia="Times New Roman" w:hAnsi="Times New Roman"/>
                <w:sz w:val="16"/>
                <w:szCs w:val="16"/>
                <w:color w:val="auto"/>
              </w:rPr>
              <w:t>61.57</w:t>
            </w:r>
          </w:p>
        </w:tc>
        <w:tc>
          <w:tcPr>
            <w:tcW w:w="10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1/1/2022</w:t>
            </w:r>
          </w:p>
        </w:tc>
        <w:tc>
          <w:tcPr>
            <w:tcW w:w="136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DFF"/>
          </w:tcPr>
          <w:p>
            <w:pPr>
              <w:spacing w:after="0"/>
              <w:rPr>
                <w:sz w:val="20"/>
                <w:szCs w:val="20"/>
                <w:color w:val="auto"/>
              </w:rPr>
            </w:pPr>
          </w:p>
        </w:tc>
        <w:tc>
          <w:tcPr>
            <w:tcW w:w="120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shd w:val="clear" w:color="auto" w:fill="CCED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1/4/2016</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18,323</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19,917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61.68</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1/3/2023</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shd w:val="clear" w:color="auto" w:fill="CCEDFF"/>
          </w:tcPr>
          <w:p>
            <w:pPr>
              <w:spacing w:after="0"/>
              <w:rPr>
                <w:sz w:val="20"/>
                <w:szCs w:val="20"/>
                <w:color w:val="auto"/>
              </w:rPr>
            </w:pPr>
          </w:p>
        </w:tc>
        <w:tc>
          <w:tcPr>
            <w:tcW w:w="960" w:type="dxa"/>
            <w:vAlign w:val="bottom"/>
            <w:tcBorders>
              <w:right w:val="single" w:sz="8" w:color="auto"/>
            </w:tcBorders>
            <w:gridSpan w:val="2"/>
            <w:shd w:val="clear" w:color="auto" w:fill="CCEDFF"/>
          </w:tcPr>
          <w:p>
            <w:pPr>
              <w:jc w:val="right"/>
              <w:ind w:right="120"/>
              <w:spacing w:after="0"/>
              <w:rPr>
                <w:sz w:val="20"/>
                <w:szCs w:val="20"/>
                <w:color w:val="auto"/>
              </w:rPr>
            </w:pPr>
            <w:r>
              <w:rPr>
                <w:rFonts w:ascii="Times New Roman" w:cs="Times New Roman" w:eastAsia="Times New Roman" w:hAnsi="Times New Roman"/>
                <w:sz w:val="16"/>
                <w:szCs w:val="16"/>
                <w:color w:val="auto"/>
              </w:rPr>
              <w:t>1/3/2017</w:t>
            </w:r>
          </w:p>
        </w:tc>
        <w:tc>
          <w:tcPr>
            <w:tcW w:w="15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45,225</w:t>
            </w:r>
          </w:p>
        </w:tc>
        <w:tc>
          <w:tcPr>
            <w:tcW w:w="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auto"/>
            </w:tcBorders>
            <w:shd w:val="clear" w:color="auto" w:fill="CCEDFF"/>
          </w:tcPr>
          <w:p>
            <w:pPr>
              <w:jc w:val="right"/>
              <w:ind w:right="39"/>
              <w:spacing w:after="0"/>
              <w:rPr>
                <w:sz w:val="20"/>
                <w:szCs w:val="20"/>
                <w:color w:val="auto"/>
              </w:rPr>
            </w:pPr>
            <w:r>
              <w:rPr>
                <w:rFonts w:ascii="Times New Roman" w:cs="Times New Roman" w:eastAsia="Times New Roman" w:hAnsi="Times New Roman"/>
                <w:sz w:val="16"/>
                <w:szCs w:val="16"/>
                <w:color w:val="auto"/>
              </w:rPr>
              <w:t>47.34</w:t>
            </w:r>
          </w:p>
        </w:tc>
        <w:tc>
          <w:tcPr>
            <w:tcW w:w="10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1/2/2024</w:t>
            </w:r>
          </w:p>
        </w:tc>
        <w:tc>
          <w:tcPr>
            <w:tcW w:w="136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DFF"/>
          </w:tcPr>
          <w:p>
            <w:pPr>
              <w:spacing w:after="0"/>
              <w:rPr>
                <w:sz w:val="20"/>
                <w:szCs w:val="20"/>
                <w:color w:val="auto"/>
              </w:rPr>
            </w:pPr>
          </w:p>
        </w:tc>
        <w:tc>
          <w:tcPr>
            <w:tcW w:w="120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shd w:val="clear" w:color="auto" w:fill="CCED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1/15/2014</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94,313</w:t>
            </w:r>
          </w:p>
        </w:tc>
        <w:tc>
          <w:tcPr>
            <w:tcW w:w="0" w:type="dxa"/>
            <w:vAlign w:val="bottom"/>
          </w:tcPr>
          <w:p>
            <w:pPr>
              <w:spacing w:after="0"/>
              <w:rPr>
                <w:sz w:val="1"/>
                <w:szCs w:val="1"/>
                <w:color w:val="auto"/>
              </w:rPr>
            </w:pPr>
          </w:p>
        </w:tc>
      </w:tr>
      <w:tr>
        <w:trPr>
          <w:trHeight w:val="239"/>
        </w:trPr>
        <w:tc>
          <w:tcPr>
            <w:tcW w:w="980" w:type="dxa"/>
            <w:vAlign w:val="bottom"/>
            <w:tcBorders>
              <w:left w:val="single" w:sz="8" w:color="auto"/>
              <w:right w:val="single" w:sz="8" w:color="auto"/>
            </w:tcBorders>
            <w:shd w:val="clear" w:color="auto" w:fill="CCEDFF"/>
          </w:tcPr>
          <w:p>
            <w:pPr>
              <w:spacing w:after="0"/>
              <w:rPr>
                <w:sz w:val="20"/>
                <w:szCs w:val="20"/>
                <w:color w:val="auto"/>
              </w:rPr>
            </w:pPr>
          </w:p>
        </w:tc>
        <w:tc>
          <w:tcPr>
            <w:tcW w:w="960" w:type="dxa"/>
            <w:vAlign w:val="bottom"/>
            <w:tcBorders>
              <w:right w:val="single" w:sz="8" w:color="auto"/>
            </w:tcBorders>
            <w:gridSpan w:val="2"/>
            <w:shd w:val="clear" w:color="auto" w:fill="CCEDFF"/>
          </w:tcPr>
          <w:p>
            <w:pPr>
              <w:jc w:val="right"/>
              <w:ind w:right="120"/>
              <w:spacing w:after="0"/>
              <w:rPr>
                <w:sz w:val="20"/>
                <w:szCs w:val="20"/>
                <w:color w:val="auto"/>
              </w:rPr>
            </w:pPr>
            <w:r>
              <w:rPr>
                <w:rFonts w:ascii="Times New Roman" w:cs="Times New Roman" w:eastAsia="Times New Roman" w:hAnsi="Times New Roman"/>
                <w:sz w:val="16"/>
                <w:szCs w:val="16"/>
                <w:color w:val="auto"/>
              </w:rPr>
              <w:t>1/15/2015</w:t>
            </w:r>
          </w:p>
        </w:tc>
        <w:tc>
          <w:tcPr>
            <w:tcW w:w="15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DFF"/>
          </w:tcPr>
          <w:p>
            <w:pPr>
              <w:spacing w:after="0"/>
              <w:rPr>
                <w:sz w:val="20"/>
                <w:szCs w:val="20"/>
                <w:color w:val="auto"/>
              </w:rPr>
            </w:pPr>
          </w:p>
        </w:tc>
        <w:tc>
          <w:tcPr>
            <w:tcW w:w="600" w:type="dxa"/>
            <w:vAlign w:val="bottom"/>
            <w:tcBorders>
              <w:right w:val="single" w:sz="8" w:color="auto"/>
            </w:tcBorders>
            <w:shd w:val="clear" w:color="auto" w:fill="CCED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2,758</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138,727</w:t>
            </w:r>
          </w:p>
        </w:tc>
        <w:tc>
          <w:tcPr>
            <w:tcW w:w="0" w:type="dxa"/>
            <w:vAlign w:val="bottom"/>
          </w:tcPr>
          <w:p>
            <w:pPr>
              <w:spacing w:after="0"/>
              <w:rPr>
                <w:sz w:val="1"/>
                <w:szCs w:val="1"/>
                <w:color w:val="auto"/>
              </w:rPr>
            </w:pPr>
          </w:p>
        </w:tc>
      </w:tr>
      <w:tr>
        <w:trPr>
          <w:trHeight w:val="220"/>
        </w:trPr>
        <w:tc>
          <w:tcPr>
            <w:tcW w:w="980" w:type="dxa"/>
            <w:vAlign w:val="bottom"/>
            <w:tcBorders>
              <w:left w:val="single" w:sz="8" w:color="auto"/>
              <w:right w:val="single" w:sz="8" w:color="auto"/>
            </w:tcBorders>
            <w:shd w:val="clear" w:color="auto" w:fill="CCED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1/15/2016</w:t>
            </w:r>
          </w:p>
        </w:tc>
        <w:tc>
          <w:tcPr>
            <w:tcW w:w="15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4,779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240,384</w:t>
            </w:r>
          </w:p>
        </w:tc>
        <w:tc>
          <w:tcPr>
            <w:tcW w:w="0" w:type="dxa"/>
            <w:vAlign w:val="bottom"/>
          </w:tcPr>
          <w:p>
            <w:pPr>
              <w:spacing w:after="0"/>
              <w:rPr>
                <w:sz w:val="1"/>
                <w:szCs w:val="1"/>
                <w:color w:val="auto"/>
              </w:rPr>
            </w:pPr>
          </w:p>
        </w:tc>
      </w:tr>
      <w:tr>
        <w:trPr>
          <w:trHeight w:val="233"/>
        </w:trPr>
        <w:tc>
          <w:tcPr>
            <w:tcW w:w="980" w:type="dxa"/>
            <w:vAlign w:val="bottom"/>
            <w:tcBorders>
              <w:left w:val="single" w:sz="8" w:color="auto"/>
              <w:bottom w:val="single" w:sz="8" w:color="auto"/>
              <w:right w:val="single" w:sz="8" w:color="auto"/>
            </w:tcBorders>
            <w:shd w:val="clear" w:color="auto" w:fill="CCEDFF"/>
          </w:tcPr>
          <w:p>
            <w:pPr>
              <w:spacing w:after="0"/>
              <w:rPr>
                <w:sz w:val="20"/>
                <w:szCs w:val="20"/>
                <w:color w:val="auto"/>
              </w:rPr>
            </w:pPr>
          </w:p>
        </w:tc>
        <w:tc>
          <w:tcPr>
            <w:tcW w:w="960" w:type="dxa"/>
            <w:vAlign w:val="bottom"/>
            <w:tcBorders>
              <w:bottom w:val="single" w:sz="8" w:color="auto"/>
              <w:right w:val="single" w:sz="8" w:color="auto"/>
            </w:tcBorders>
            <w:gridSpan w:val="2"/>
            <w:shd w:val="clear" w:color="auto" w:fill="CCEDFF"/>
          </w:tcPr>
          <w:p>
            <w:pPr>
              <w:jc w:val="right"/>
              <w:ind w:right="120"/>
              <w:spacing w:after="0"/>
              <w:rPr>
                <w:sz w:val="20"/>
                <w:szCs w:val="20"/>
                <w:color w:val="auto"/>
              </w:rPr>
            </w:pPr>
            <w:r>
              <w:rPr>
                <w:rFonts w:ascii="Times New Roman" w:cs="Times New Roman" w:eastAsia="Times New Roman" w:hAnsi="Times New Roman"/>
                <w:sz w:val="16"/>
                <w:szCs w:val="16"/>
                <w:color w:val="auto"/>
              </w:rPr>
              <w:t>1/15/2017</w:t>
            </w:r>
          </w:p>
        </w:tc>
        <w:tc>
          <w:tcPr>
            <w:tcW w:w="1540" w:type="dxa"/>
            <w:vAlign w:val="bottom"/>
            <w:tcBorders>
              <w:bottom w:val="single" w:sz="8" w:color="auto"/>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DFF"/>
          </w:tcPr>
          <w:p>
            <w:pPr>
              <w:spacing w:after="0"/>
              <w:rPr>
                <w:sz w:val="20"/>
                <w:szCs w:val="20"/>
                <w:color w:val="auto"/>
              </w:rPr>
            </w:pPr>
          </w:p>
        </w:tc>
        <w:tc>
          <w:tcPr>
            <w:tcW w:w="600" w:type="dxa"/>
            <w:vAlign w:val="bottom"/>
            <w:tcBorders>
              <w:bottom w:val="single" w:sz="8" w:color="auto"/>
              <w:right w:val="single" w:sz="8" w:color="auto"/>
            </w:tcBorders>
            <w:shd w:val="clear" w:color="auto" w:fill="CCED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right w:val="single" w:sz="8" w:color="auto"/>
            </w:tcBorders>
            <w:shd w:val="clear" w:color="auto" w:fill="CCEDFF"/>
          </w:tcPr>
          <w:p>
            <w:pPr>
              <w:jc w:val="right"/>
              <w:ind w:right="41"/>
              <w:spacing w:after="0"/>
              <w:rPr>
                <w:sz w:val="20"/>
                <w:szCs w:val="20"/>
                <w:color w:val="auto"/>
              </w:rPr>
            </w:pPr>
            <w:r>
              <w:rPr>
                <w:rFonts w:ascii="Times New Roman" w:cs="Times New Roman" w:eastAsia="Times New Roman" w:hAnsi="Times New Roman"/>
                <w:sz w:val="16"/>
                <w:szCs w:val="16"/>
                <w:color w:val="auto"/>
              </w:rPr>
              <w:t>7,537</w:t>
            </w:r>
          </w:p>
        </w:tc>
        <w:tc>
          <w:tcPr>
            <w:tcW w:w="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right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379,111</w:t>
            </w:r>
          </w:p>
        </w:tc>
        <w:tc>
          <w:tcPr>
            <w:tcW w:w="0" w:type="dxa"/>
            <w:vAlign w:val="bottom"/>
          </w:tcPr>
          <w:p>
            <w:pPr>
              <w:spacing w:after="0"/>
              <w:rPr>
                <w:sz w:val="1"/>
                <w:szCs w:val="1"/>
                <w:color w:val="auto"/>
              </w:rPr>
            </w:pPr>
          </w:p>
        </w:tc>
      </w:tr>
      <w:tr>
        <w:trPr>
          <w:trHeight w:val="189"/>
        </w:trPr>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-5702300</wp:posOffset>
            </wp:positionV>
            <wp:extent cx="545401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54015" cy="14605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-5410835</wp:posOffset>
            </wp:positionV>
            <wp:extent cx="545401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54015" cy="14605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-5119370</wp:posOffset>
            </wp:positionV>
            <wp:extent cx="545401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54015" cy="14605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-4827270</wp:posOffset>
            </wp:positionV>
            <wp:extent cx="545401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54015" cy="14605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-4535805</wp:posOffset>
            </wp:positionV>
            <wp:extent cx="545401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54015"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-3069590</wp:posOffset>
            </wp:positionV>
            <wp:extent cx="6062980" cy="16122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62980" cy="1612265"/>
                    </a:xfrm>
                    <a:prstGeom prst="rect">
                      <a:avLst/>
                    </a:prstGeom>
                    <a:noFill/>
                  </pic:spPr>
                </pic:pic>
              </a:graphicData>
            </a:graphic>
          </wp:anchor>
        </w:drawing>
      </w:r>
    </w:p>
    <w:p>
      <w:pPr>
        <w:spacing w:after="0" w:line="79" w:lineRule="exact"/>
        <w:rPr>
          <w:sz w:val="20"/>
          <w:szCs w:val="20"/>
          <w:color w:val="auto"/>
        </w:rPr>
      </w:pPr>
    </w:p>
    <w:p>
      <w:pPr>
        <w:ind w:left="347" w:right="60" w:hanging="347"/>
        <w:spacing w:after="0" w:line="282" w:lineRule="auto"/>
        <w:tabs>
          <w:tab w:leader="none" w:pos="347"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have a term of seven years and vest at the rate of 25% for the first year and then at the rate of 2.08% per month for 36 months thereafter during the optionee’s employment.</w:t>
      </w:r>
    </w:p>
    <w:p>
      <w:pPr>
        <w:spacing w:after="0" w:line="53" w:lineRule="exact"/>
        <w:rPr>
          <w:rFonts w:ascii="Times New Roman" w:cs="Times New Roman" w:eastAsia="Times New Roman" w:hAnsi="Times New Roman"/>
          <w:sz w:val="14"/>
          <w:szCs w:val="14"/>
          <w:color w:val="auto"/>
        </w:rPr>
      </w:pPr>
    </w:p>
    <w:p>
      <w:pPr>
        <w:ind w:left="347" w:hanging="347"/>
        <w:spacing w:after="0"/>
        <w:tabs>
          <w:tab w:leader="none" w:pos="347"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were granted out of our 2011 Plan. The RSUs vest at the rate of 25% per year over four years.</w:t>
      </w:r>
    </w:p>
    <w:p>
      <w:pPr>
        <w:spacing w:after="0" w:line="109" w:lineRule="exact"/>
        <w:rPr>
          <w:rFonts w:ascii="Times New Roman" w:cs="Times New Roman" w:eastAsia="Times New Roman" w:hAnsi="Times New Roman"/>
          <w:sz w:val="14"/>
          <w:szCs w:val="14"/>
          <w:color w:val="auto"/>
        </w:rPr>
      </w:pPr>
    </w:p>
    <w:p>
      <w:pPr>
        <w:ind w:left="347" w:right="260" w:hanging="347"/>
        <w:spacing w:after="0" w:line="282" w:lineRule="auto"/>
        <w:tabs>
          <w:tab w:leader="none" w:pos="347"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of stock awards was determined by multiplying the number of unvested shares by $50.30, which was the closing market price of our common stock on the Nasdaq Global Select Market on December 29, 2017, the last trading day of fiscal 2017.</w:t>
      </w:r>
    </w:p>
    <w:p>
      <w:pPr>
        <w:sectPr>
          <w:pgSz w:w="11900" w:h="16838" w:orient="portrait"/>
          <w:cols w:equalWidth="0" w:num="1">
            <w:col w:w="9567"/>
          </w:cols>
          <w:pgMar w:left="1173" w:top="277" w:right="1159" w:bottom="414" w:gutter="0" w:footer="0" w:header="0"/>
        </w:sectPr>
      </w:pPr>
    </w:p>
    <w:p>
      <w:pPr>
        <w:spacing w:after="0" w:line="15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414"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ind w:right="3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2017, certain information regarding option exercises and stock awards vesting during the last fiscal year with respect to our named executive officers:</w:t>
      </w:r>
    </w:p>
    <w:tbl>
      <w:tblPr>
        <w:tblLayout w:type="fixed"/>
        <w:tblInd w:w="10" w:type="dxa"/>
        <w:tblCellMar>
          <w:top w:w="0" w:type="dxa"/>
          <w:left w:w="0" w:type="dxa"/>
          <w:bottom w:w="0" w:type="dxa"/>
          <w:right w:w="0" w:type="dxa"/>
        </w:tblCellMar>
      </w:tblPr>
      <w:tr>
        <w:trPr>
          <w:trHeight w:val="201"/>
        </w:trPr>
        <w:tc>
          <w:tcPr>
            <w:tcW w:w="2140" w:type="dxa"/>
            <w:vAlign w:val="bottom"/>
            <w:tcBorders>
              <w:top w:val="single" w:sz="8" w:color="auto"/>
              <w:left w:val="single" w:sz="8" w:color="auto"/>
              <w:right w:val="single" w:sz="8" w:color="auto"/>
            </w:tcBorders>
          </w:tcPr>
          <w:p>
            <w:pPr>
              <w:spacing w:after="0"/>
              <w:rPr>
                <w:sz w:val="17"/>
                <w:szCs w:val="17"/>
                <w:color w:val="auto"/>
              </w:rPr>
            </w:pPr>
          </w:p>
        </w:tc>
        <w:tc>
          <w:tcPr>
            <w:tcW w:w="2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40" w:type="dxa"/>
            <w:vAlign w:val="bottom"/>
            <w:tcBorders>
              <w:top w:val="single" w:sz="8" w:color="auto"/>
              <w:bottom w:val="single" w:sz="8" w:color="auto"/>
              <w:right w:val="single" w:sz="8" w:color="auto"/>
            </w:tcBorders>
          </w:tcPr>
          <w:p>
            <w:pPr>
              <w:spacing w:after="0"/>
              <w:rPr>
                <w:sz w:val="17"/>
                <w:szCs w:val="17"/>
                <w:color w:val="auto"/>
              </w:rPr>
            </w:pPr>
          </w:p>
        </w:tc>
        <w:tc>
          <w:tcPr>
            <w:tcW w:w="3580" w:type="dxa"/>
            <w:vAlign w:val="bottom"/>
            <w:tcBorders>
              <w:top w:val="single" w:sz="8" w:color="auto"/>
              <w:bottom w:val="single" w:sz="8" w:color="auto"/>
              <w:right w:val="single" w:sz="8" w:color="auto"/>
            </w:tcBorders>
            <w:gridSpan w:val="3"/>
          </w:tcPr>
          <w:p>
            <w:pPr>
              <w:jc w:val="right"/>
              <w:ind w:right="1239"/>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58"/>
        </w:trPr>
        <w:tc>
          <w:tcPr>
            <w:tcW w:w="2140" w:type="dxa"/>
            <w:vAlign w:val="bottom"/>
            <w:tcBorders>
              <w:left w:val="single" w:sz="8" w:color="auto"/>
              <w:right w:val="single" w:sz="8" w:color="auto"/>
            </w:tcBorders>
          </w:tcPr>
          <w:p>
            <w:pPr>
              <w:spacing w:after="0"/>
              <w:rPr>
                <w:sz w:val="13"/>
                <w:szCs w:val="13"/>
                <w:color w:val="auto"/>
              </w:rPr>
            </w:pPr>
          </w:p>
        </w:tc>
        <w:tc>
          <w:tcPr>
            <w:tcW w:w="20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r>
      <w:tr>
        <w:trPr>
          <w:trHeight w:val="162"/>
        </w:trPr>
        <w:tc>
          <w:tcPr>
            <w:tcW w:w="2140" w:type="dxa"/>
            <w:vAlign w:val="bottom"/>
            <w:tcBorders>
              <w:left w:val="single" w:sz="8" w:color="auto"/>
              <w:right w:val="single" w:sz="8" w:color="auto"/>
            </w:tcBorders>
          </w:tcPr>
          <w:p>
            <w:pPr>
              <w:spacing w:after="0"/>
              <w:rPr>
                <w:sz w:val="14"/>
                <w:szCs w:val="14"/>
                <w:color w:val="auto"/>
              </w:rPr>
            </w:pP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r>
      <w:tr>
        <w:trPr>
          <w:trHeight w:val="146"/>
        </w:trPr>
        <w:tc>
          <w:tcPr>
            <w:tcW w:w="2140" w:type="dxa"/>
            <w:vAlign w:val="bottom"/>
            <w:tcBorders>
              <w:left w:val="single" w:sz="8" w:color="auto"/>
              <w:right w:val="single" w:sz="8" w:color="auto"/>
            </w:tcBorders>
          </w:tcPr>
          <w:p>
            <w:pPr>
              <w:spacing w:after="0"/>
              <w:rPr>
                <w:sz w:val="12"/>
                <w:szCs w:val="12"/>
                <w:color w:val="auto"/>
              </w:rPr>
            </w:pPr>
          </w:p>
        </w:tc>
        <w:tc>
          <w:tcPr>
            <w:tcW w:w="20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380" w:type="dxa"/>
            <w:vAlign w:val="bottom"/>
          </w:tcPr>
          <w:p>
            <w:pPr>
              <w:spacing w:after="0"/>
              <w:rPr>
                <w:sz w:val="12"/>
                <w:szCs w:val="12"/>
                <w:color w:val="auto"/>
              </w:rPr>
            </w:pPr>
          </w:p>
        </w:tc>
        <w:tc>
          <w:tcPr>
            <w:tcW w:w="1440" w:type="dxa"/>
            <w:vAlign w:val="bottom"/>
            <w:tcBorders>
              <w:right w:val="single" w:sz="8" w:color="auto"/>
            </w:tcBorders>
          </w:tcPr>
          <w:p>
            <w:pPr>
              <w:jc w:val="right"/>
              <w:ind w:right="391"/>
              <w:spacing w:after="0" w:line="147" w:lineRule="exact"/>
              <w:rPr>
                <w:sz w:val="20"/>
                <w:szCs w:val="20"/>
                <w:color w:val="auto"/>
              </w:rPr>
            </w:pPr>
            <w:r>
              <w:rPr>
                <w:rFonts w:ascii="Times New Roman" w:cs="Times New Roman" w:eastAsia="Times New Roman" w:hAnsi="Times New Roman"/>
                <w:sz w:val="14"/>
                <w:szCs w:val="14"/>
                <w:b w:val="1"/>
                <w:bCs w:val="1"/>
                <w:color w:val="auto"/>
              </w:rPr>
              <w:t>Value Realized</w:t>
            </w:r>
          </w:p>
        </w:tc>
        <w:tc>
          <w:tcPr>
            <w:tcW w:w="17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340" w:type="dxa"/>
            <w:vAlign w:val="bottom"/>
          </w:tcPr>
          <w:p>
            <w:pPr>
              <w:spacing w:after="0"/>
              <w:rPr>
                <w:sz w:val="12"/>
                <w:szCs w:val="12"/>
                <w:color w:val="auto"/>
              </w:rPr>
            </w:pPr>
          </w:p>
        </w:tc>
        <w:tc>
          <w:tcPr>
            <w:tcW w:w="1500" w:type="dxa"/>
            <w:vAlign w:val="bottom"/>
            <w:tcBorders>
              <w:right w:val="single" w:sz="8" w:color="auto"/>
            </w:tcBorders>
          </w:tcPr>
          <w:p>
            <w:pPr>
              <w:jc w:val="right"/>
              <w:ind w:right="339"/>
              <w:spacing w:after="0" w:line="147" w:lineRule="exact"/>
              <w:rPr>
                <w:sz w:val="20"/>
                <w:szCs w:val="20"/>
                <w:color w:val="auto"/>
              </w:rPr>
            </w:pPr>
            <w:r>
              <w:rPr>
                <w:rFonts w:ascii="Times New Roman" w:cs="Times New Roman" w:eastAsia="Times New Roman" w:hAnsi="Times New Roman"/>
                <w:sz w:val="14"/>
                <w:szCs w:val="14"/>
                <w:b w:val="1"/>
                <w:bCs w:val="1"/>
                <w:color w:val="auto"/>
              </w:rPr>
              <w:t>Value Realized</w:t>
            </w:r>
          </w:p>
        </w:tc>
      </w:tr>
      <w:tr>
        <w:trPr>
          <w:trHeight w:val="203"/>
        </w:trPr>
        <w:tc>
          <w:tcPr>
            <w:tcW w:w="21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20" w:type="dxa"/>
            <w:vAlign w:val="bottom"/>
            <w:tcBorders>
              <w:bottom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on Exercise (#)</w:t>
            </w:r>
            <w:r>
              <w:rPr>
                <w:rFonts w:ascii="Times New Roman" w:cs="Times New Roman" w:eastAsia="Times New Roman" w:hAnsi="Times New Roman"/>
                <w:sz w:val="23"/>
                <w:szCs w:val="23"/>
                <w:b w:val="1"/>
                <w:bCs w:val="1"/>
                <w:color w:val="auto"/>
                <w:w w:val="99"/>
                <w:vertAlign w:val="superscript"/>
              </w:rPr>
              <w:t>(1)</w:t>
            </w: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on Exercise ($)</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Vesting (#)</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on Vesting ($)</w:t>
            </w:r>
          </w:p>
        </w:tc>
      </w:tr>
      <w:tr>
        <w:trPr>
          <w:trHeight w:val="228"/>
        </w:trPr>
        <w:tc>
          <w:tcPr>
            <w:tcW w:w="2140" w:type="dxa"/>
            <w:vAlign w:val="bottom"/>
            <w:tcBorders>
              <w:left w:val="single" w:sz="8" w:color="auto"/>
              <w:right w:val="single" w:sz="8" w:color="auto"/>
            </w:tcBorders>
            <w:shd w:val="clear" w:color="auto" w:fill="CCEDFF"/>
          </w:tcPr>
          <w:p>
            <w:pPr>
              <w:spacing w:after="0"/>
              <w:rPr>
                <w:sz w:val="19"/>
                <w:szCs w:val="19"/>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7,500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335,325</w:t>
            </w:r>
          </w:p>
        </w:tc>
        <w:tc>
          <w:tcPr>
            <w:tcW w:w="1740" w:type="dxa"/>
            <w:vAlign w:val="bottom"/>
            <w:tcBorders>
              <w:right w:val="single" w:sz="8" w:color="auto"/>
            </w:tcBorders>
            <w:shd w:val="clear" w:color="auto" w:fill="CCEDFF"/>
          </w:tcPr>
          <w:p>
            <w:pPr>
              <w:spacing w:after="0"/>
              <w:rPr>
                <w:sz w:val="19"/>
                <w:szCs w:val="19"/>
                <w:color w:val="auto"/>
              </w:rPr>
            </w:pPr>
          </w:p>
        </w:tc>
        <w:tc>
          <w:tcPr>
            <w:tcW w:w="340" w:type="dxa"/>
            <w:vAlign w:val="bottom"/>
            <w:shd w:val="clear" w:color="auto" w:fill="CCEDFF"/>
          </w:tcPr>
          <w:p>
            <w:pPr>
              <w:spacing w:after="0"/>
              <w:rPr>
                <w:sz w:val="19"/>
                <w:szCs w:val="19"/>
                <w:color w:val="auto"/>
              </w:rPr>
            </w:pPr>
          </w:p>
        </w:tc>
        <w:tc>
          <w:tcPr>
            <w:tcW w:w="1500" w:type="dxa"/>
            <w:vAlign w:val="bottom"/>
            <w:tcBorders>
              <w:right w:val="single" w:sz="8" w:color="auto"/>
            </w:tcBorders>
            <w:shd w:val="clear" w:color="auto" w:fill="CCEDFF"/>
          </w:tcPr>
          <w:p>
            <w:pPr>
              <w:spacing w:after="0"/>
              <w:rPr>
                <w:sz w:val="19"/>
                <w:szCs w:val="19"/>
                <w:color w:val="auto"/>
              </w:rPr>
            </w:pPr>
          </w:p>
        </w:tc>
      </w:tr>
      <w:tr>
        <w:trPr>
          <w:trHeight w:val="238"/>
        </w:trPr>
        <w:tc>
          <w:tcPr>
            <w:tcW w:w="2140" w:type="dxa"/>
            <w:vAlign w:val="bottom"/>
            <w:tcBorders>
              <w:left w:val="single" w:sz="8" w:color="auto"/>
              <w:right w:val="single" w:sz="8" w:color="auto"/>
            </w:tcBorders>
            <w:shd w:val="clear" w:color="auto" w:fill="CCEDFF"/>
          </w:tcPr>
          <w:p>
            <w:pPr>
              <w:spacing w:after="0"/>
              <w:rPr>
                <w:sz w:val="20"/>
                <w:szCs w:val="20"/>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7,500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336,225</w:t>
            </w:r>
          </w:p>
        </w:tc>
        <w:tc>
          <w:tcPr>
            <w:tcW w:w="1740" w:type="dxa"/>
            <w:vAlign w:val="bottom"/>
            <w:tcBorders>
              <w:right w:val="single" w:sz="8" w:color="auto"/>
            </w:tcBorders>
            <w:shd w:val="clear" w:color="auto" w:fill="CCEDFF"/>
          </w:tcPr>
          <w:p>
            <w:pPr>
              <w:spacing w:after="0"/>
              <w:rPr>
                <w:sz w:val="20"/>
                <w:szCs w:val="20"/>
                <w:color w:val="auto"/>
              </w:rPr>
            </w:pPr>
          </w:p>
        </w:tc>
        <w:tc>
          <w:tcPr>
            <w:tcW w:w="340" w:type="dxa"/>
            <w:vAlign w:val="bottom"/>
            <w:shd w:val="clear" w:color="auto" w:fill="CCEDFF"/>
          </w:tcPr>
          <w:p>
            <w:pPr>
              <w:spacing w:after="0"/>
              <w:rPr>
                <w:sz w:val="20"/>
                <w:szCs w:val="20"/>
                <w:color w:val="auto"/>
              </w:rPr>
            </w:pPr>
          </w:p>
        </w:tc>
        <w:tc>
          <w:tcPr>
            <w:tcW w:w="1500" w:type="dxa"/>
            <w:vAlign w:val="bottom"/>
            <w:tcBorders>
              <w:right w:val="single" w:sz="8" w:color="auto"/>
            </w:tcBorders>
            <w:shd w:val="clear" w:color="auto" w:fill="CCEDFF"/>
          </w:tcPr>
          <w:p>
            <w:pPr>
              <w:spacing w:after="0"/>
              <w:rPr>
                <w:sz w:val="20"/>
                <w:szCs w:val="20"/>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197,800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197,550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189,050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186,800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183,800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202,550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204,050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188,300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378,100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1,538</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57,844</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3,462</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155,963</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224,750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Stanley T. Crooke</w:t>
            </w: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111,400</w:t>
            </w:r>
          </w:p>
        </w:tc>
        <w:tc>
          <w:tcPr>
            <w:tcW w:w="1740" w:type="dxa"/>
            <w:vAlign w:val="bottom"/>
            <w:tcBorders>
              <w:right w:val="single" w:sz="8" w:color="auto"/>
            </w:tcBorders>
            <w:shd w:val="clear" w:color="auto" w:fill="CCEDFF"/>
          </w:tcPr>
          <w:p>
            <w:pPr>
              <w:jc w:val="right"/>
              <w:ind w:right="43"/>
              <w:spacing w:after="0"/>
              <w:rPr>
                <w:sz w:val="20"/>
                <w:szCs w:val="20"/>
                <w:color w:val="auto"/>
              </w:rPr>
            </w:pPr>
            <w:r>
              <w:rPr>
                <w:rFonts w:ascii="Times New Roman" w:cs="Times New Roman" w:eastAsia="Times New Roman" w:hAnsi="Times New Roman"/>
                <w:sz w:val="18"/>
                <w:szCs w:val="18"/>
                <w:color w:val="auto"/>
              </w:rPr>
              <w:t>28,367</w:t>
            </w:r>
          </w:p>
        </w:tc>
        <w:tc>
          <w:tcPr>
            <w:tcW w:w="340" w:type="dxa"/>
            <w:vAlign w:val="bottom"/>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shd w:val="clear" w:color="auto" w:fill="CCEDFF"/>
          </w:tcPr>
          <w:p>
            <w:pPr>
              <w:jc w:val="right"/>
              <w:ind w:right="39"/>
              <w:spacing w:after="0"/>
              <w:rPr>
                <w:sz w:val="20"/>
                <w:szCs w:val="20"/>
                <w:color w:val="auto"/>
              </w:rPr>
            </w:pPr>
            <w:r>
              <w:rPr>
                <w:rFonts w:ascii="Times New Roman" w:cs="Times New Roman" w:eastAsia="Times New Roman" w:hAnsi="Times New Roman"/>
                <w:sz w:val="18"/>
                <w:szCs w:val="18"/>
                <w:color w:val="auto"/>
              </w:rPr>
              <w:t>1,364,169</w:t>
            </w: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111,350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6,369</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258,390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8,631</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349,987</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180,000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340,500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164,150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65,540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3,000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98,460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11,000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481,800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6,000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251,220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6,000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252,780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7,000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299,950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43"/>
        </w:trPr>
        <w:tc>
          <w:tcPr>
            <w:tcW w:w="2140" w:type="dxa"/>
            <w:vAlign w:val="bottom"/>
            <w:tcBorders>
              <w:left w:val="single" w:sz="8" w:color="auto"/>
              <w:right w:val="single" w:sz="8" w:color="auto"/>
            </w:tcBorders>
            <w:shd w:val="clear" w:color="auto" w:fill="CCEDFF"/>
          </w:tcPr>
          <w:p>
            <w:pPr>
              <w:spacing w:after="0"/>
              <w:rPr>
                <w:sz w:val="21"/>
                <w:szCs w:val="21"/>
                <w:color w:val="auto"/>
              </w:rPr>
            </w:pPr>
          </w:p>
        </w:tc>
        <w:tc>
          <w:tcPr>
            <w:tcW w:w="2020" w:type="dxa"/>
            <w:vAlign w:val="bottom"/>
            <w:tcBorders>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200,250</w:t>
            </w:r>
          </w:p>
        </w:tc>
        <w:tc>
          <w:tcPr>
            <w:tcW w:w="1740" w:type="dxa"/>
            <w:vAlign w:val="bottom"/>
            <w:tcBorders>
              <w:right w:val="single" w:sz="8" w:color="auto"/>
            </w:tcBorders>
            <w:shd w:val="clear" w:color="auto" w:fill="CCEDFF"/>
          </w:tcPr>
          <w:p>
            <w:pPr>
              <w:spacing w:after="0"/>
              <w:rPr>
                <w:sz w:val="21"/>
                <w:szCs w:val="21"/>
                <w:color w:val="auto"/>
              </w:rPr>
            </w:pPr>
          </w:p>
        </w:tc>
        <w:tc>
          <w:tcPr>
            <w:tcW w:w="340" w:type="dxa"/>
            <w:vAlign w:val="bottom"/>
            <w:shd w:val="clear" w:color="auto" w:fill="CCEDFF"/>
          </w:tcPr>
          <w:p>
            <w:pPr>
              <w:spacing w:after="0"/>
              <w:rPr>
                <w:sz w:val="21"/>
                <w:szCs w:val="21"/>
                <w:color w:val="auto"/>
              </w:rPr>
            </w:pPr>
          </w:p>
        </w:tc>
        <w:tc>
          <w:tcPr>
            <w:tcW w:w="1500" w:type="dxa"/>
            <w:vAlign w:val="bottom"/>
            <w:tcBorders>
              <w:right w:val="single" w:sz="8" w:color="auto"/>
            </w:tcBorders>
            <w:shd w:val="clear" w:color="auto" w:fill="CCEDFF"/>
          </w:tcPr>
          <w:p>
            <w:pPr>
              <w:spacing w:after="0"/>
              <w:rPr>
                <w:sz w:val="21"/>
                <w:szCs w:val="21"/>
                <w:color w:val="auto"/>
              </w:rPr>
            </w:pPr>
          </w:p>
        </w:tc>
      </w:tr>
      <w:tr>
        <w:trPr>
          <w:trHeight w:val="250"/>
        </w:trPr>
        <w:tc>
          <w:tcPr>
            <w:tcW w:w="2140" w:type="dxa"/>
            <w:vAlign w:val="bottom"/>
            <w:tcBorders>
              <w:left w:val="single" w:sz="8" w:color="auto"/>
              <w:bottom w:val="single" w:sz="8" w:color="auto"/>
              <w:right w:val="single" w:sz="8" w:color="auto"/>
            </w:tcBorders>
            <w:shd w:val="clear" w:color="auto" w:fill="CCEDFF"/>
          </w:tcPr>
          <w:p>
            <w:pPr>
              <w:spacing w:after="0"/>
              <w:rPr>
                <w:sz w:val="21"/>
                <w:szCs w:val="21"/>
                <w:color w:val="auto"/>
              </w:rPr>
            </w:pPr>
          </w:p>
        </w:tc>
        <w:tc>
          <w:tcPr>
            <w:tcW w:w="2020" w:type="dxa"/>
            <w:vAlign w:val="bottom"/>
            <w:tcBorders>
              <w:bottom w:val="single" w:sz="8" w:color="auto"/>
              <w:right w:val="single" w:sz="8" w:color="auto"/>
            </w:tcBorders>
            <w:shd w:val="clear" w:color="auto" w:fill="CCED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shd w:val="clear" w:color="auto" w:fill="CCEDFF"/>
          </w:tcPr>
          <w:p>
            <w:pPr>
              <w:jc w:val="right"/>
              <w:ind w:right="31"/>
              <w:spacing w:after="0"/>
              <w:rPr>
                <w:sz w:val="20"/>
                <w:szCs w:val="20"/>
                <w:color w:val="auto"/>
              </w:rPr>
            </w:pPr>
            <w:r>
              <w:rPr>
                <w:rFonts w:ascii="Times New Roman" w:cs="Times New Roman" w:eastAsia="Times New Roman" w:hAnsi="Times New Roman"/>
                <w:sz w:val="18"/>
                <w:szCs w:val="18"/>
                <w:color w:val="auto"/>
              </w:rPr>
              <w:t>207,750</w:t>
            </w:r>
          </w:p>
        </w:tc>
        <w:tc>
          <w:tcPr>
            <w:tcW w:w="1740" w:type="dxa"/>
            <w:vAlign w:val="bottom"/>
            <w:tcBorders>
              <w:bottom w:val="single" w:sz="8" w:color="auto"/>
              <w:right w:val="single" w:sz="8" w:color="auto"/>
            </w:tcBorders>
            <w:shd w:val="clear" w:color="auto" w:fill="CCEDFF"/>
          </w:tcPr>
          <w:p>
            <w:pPr>
              <w:spacing w:after="0"/>
              <w:rPr>
                <w:sz w:val="21"/>
                <w:szCs w:val="21"/>
                <w:color w:val="auto"/>
              </w:rPr>
            </w:pPr>
          </w:p>
        </w:tc>
        <w:tc>
          <w:tcPr>
            <w:tcW w:w="340" w:type="dxa"/>
            <w:vAlign w:val="bottom"/>
            <w:tcBorders>
              <w:bottom w:val="single" w:sz="8" w:color="auto"/>
            </w:tcBorders>
            <w:shd w:val="clear" w:color="auto" w:fill="CCEDFF"/>
          </w:tcPr>
          <w:p>
            <w:pPr>
              <w:spacing w:after="0"/>
              <w:rPr>
                <w:sz w:val="21"/>
                <w:szCs w:val="21"/>
                <w:color w:val="auto"/>
              </w:rPr>
            </w:pPr>
          </w:p>
        </w:tc>
        <w:tc>
          <w:tcPr>
            <w:tcW w:w="1500" w:type="dxa"/>
            <w:vAlign w:val="bottom"/>
            <w:tcBorders>
              <w:bottom w:val="single" w:sz="8" w:color="auto"/>
              <w:right w:val="single" w:sz="8" w:color="auto"/>
            </w:tcBorders>
            <w:shd w:val="clear" w:color="auto" w:fill="CCEDFF"/>
          </w:tcPr>
          <w:p>
            <w:pPr>
              <w:spacing w:after="0"/>
              <w:rPr>
                <w:sz w:val="21"/>
                <w:szCs w:val="21"/>
                <w:color w:val="auto"/>
              </w:rPr>
            </w:pPr>
          </w:p>
        </w:tc>
      </w:tr>
      <w:tr>
        <w:trPr>
          <w:trHeight w:val="239"/>
        </w:trPr>
        <w:tc>
          <w:tcPr>
            <w:tcW w:w="214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2,150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91,074</w:t>
            </w:r>
          </w:p>
        </w:tc>
        <w:tc>
          <w:tcPr>
            <w:tcW w:w="17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r>
      <w:tr>
        <w:trPr>
          <w:trHeight w:val="247"/>
        </w:trPr>
        <w:tc>
          <w:tcPr>
            <w:tcW w:w="2140" w:type="dxa"/>
            <w:vAlign w:val="bottom"/>
            <w:tcBorders>
              <w:left w:val="single" w:sz="8" w:color="auto"/>
              <w:right w:val="single" w:sz="8" w:color="auto"/>
            </w:tcBorders>
          </w:tcPr>
          <w:p>
            <w:pPr>
              <w:spacing w:after="0"/>
              <w:rPr>
                <w:sz w:val="21"/>
                <w:szCs w:val="21"/>
                <w:color w:val="auto"/>
              </w:rPr>
            </w:pPr>
          </w:p>
        </w:tc>
        <w:tc>
          <w:tcPr>
            <w:tcW w:w="20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36,387</w:t>
            </w:r>
          </w:p>
        </w:tc>
        <w:tc>
          <w:tcPr>
            <w:tcW w:w="174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239"/>
        </w:trPr>
        <w:tc>
          <w:tcPr>
            <w:tcW w:w="214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47,516</w:t>
            </w:r>
          </w:p>
        </w:tc>
        <w:tc>
          <w:tcPr>
            <w:tcW w:w="17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r>
      <w:tr>
        <w:trPr>
          <w:trHeight w:val="247"/>
        </w:trPr>
        <w:tc>
          <w:tcPr>
            <w:tcW w:w="2140" w:type="dxa"/>
            <w:vAlign w:val="bottom"/>
            <w:tcBorders>
              <w:left w:val="single" w:sz="8" w:color="auto"/>
              <w:right w:val="single" w:sz="8" w:color="auto"/>
            </w:tcBorders>
          </w:tcPr>
          <w:p>
            <w:pPr>
              <w:spacing w:after="0"/>
              <w:rPr>
                <w:sz w:val="21"/>
                <w:szCs w:val="21"/>
                <w:color w:val="auto"/>
              </w:rPr>
            </w:pPr>
          </w:p>
        </w:tc>
        <w:tc>
          <w:tcPr>
            <w:tcW w:w="20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36,301</w:t>
            </w:r>
          </w:p>
        </w:tc>
        <w:tc>
          <w:tcPr>
            <w:tcW w:w="174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234"/>
        </w:trPr>
        <w:tc>
          <w:tcPr>
            <w:tcW w:w="214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186,840</w:t>
            </w:r>
          </w:p>
        </w:tc>
        <w:tc>
          <w:tcPr>
            <w:tcW w:w="17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r>
      <w:tr>
        <w:trPr>
          <w:trHeight w:val="252"/>
        </w:trPr>
        <w:tc>
          <w:tcPr>
            <w:tcW w:w="21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Elizabeth L. Hougen</w:t>
            </w:r>
          </w:p>
        </w:tc>
        <w:tc>
          <w:tcPr>
            <w:tcW w:w="20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85,520</w:t>
            </w:r>
          </w:p>
        </w:tc>
        <w:tc>
          <w:tcPr>
            <w:tcW w:w="174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8"/>
                <w:szCs w:val="18"/>
                <w:color w:val="auto"/>
              </w:rPr>
              <w:t>5,814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279,595</w:t>
            </w:r>
          </w:p>
        </w:tc>
      </w:tr>
      <w:tr>
        <w:trPr>
          <w:trHeight w:val="239"/>
        </w:trPr>
        <w:tc>
          <w:tcPr>
            <w:tcW w:w="214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85,920</w:t>
            </w:r>
          </w:p>
        </w:tc>
        <w:tc>
          <w:tcPr>
            <w:tcW w:w="17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r>
      <w:tr>
        <w:trPr>
          <w:trHeight w:val="247"/>
        </w:trPr>
        <w:tc>
          <w:tcPr>
            <w:tcW w:w="2140" w:type="dxa"/>
            <w:vAlign w:val="bottom"/>
            <w:tcBorders>
              <w:left w:val="single" w:sz="8" w:color="auto"/>
              <w:right w:val="single" w:sz="8" w:color="auto"/>
            </w:tcBorders>
          </w:tcPr>
          <w:p>
            <w:pPr>
              <w:spacing w:after="0"/>
              <w:rPr>
                <w:sz w:val="21"/>
                <w:szCs w:val="21"/>
                <w:color w:val="auto"/>
              </w:rPr>
            </w:pPr>
          </w:p>
        </w:tc>
        <w:tc>
          <w:tcPr>
            <w:tcW w:w="20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84,920</w:t>
            </w:r>
          </w:p>
        </w:tc>
        <w:tc>
          <w:tcPr>
            <w:tcW w:w="174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239"/>
        </w:trPr>
        <w:tc>
          <w:tcPr>
            <w:tcW w:w="214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88,580</w:t>
            </w:r>
          </w:p>
        </w:tc>
        <w:tc>
          <w:tcPr>
            <w:tcW w:w="17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r>
      <w:tr>
        <w:trPr>
          <w:trHeight w:val="247"/>
        </w:trPr>
        <w:tc>
          <w:tcPr>
            <w:tcW w:w="2140" w:type="dxa"/>
            <w:vAlign w:val="bottom"/>
            <w:tcBorders>
              <w:left w:val="single" w:sz="8" w:color="auto"/>
              <w:right w:val="single" w:sz="8" w:color="auto"/>
            </w:tcBorders>
          </w:tcPr>
          <w:p>
            <w:pPr>
              <w:spacing w:after="0"/>
              <w:rPr>
                <w:sz w:val="21"/>
                <w:szCs w:val="21"/>
                <w:color w:val="auto"/>
              </w:rPr>
            </w:pPr>
          </w:p>
        </w:tc>
        <w:tc>
          <w:tcPr>
            <w:tcW w:w="2020" w:type="dxa"/>
            <w:vAlign w:val="bottom"/>
            <w:tcBorders>
              <w:right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87,460</w:t>
            </w:r>
          </w:p>
        </w:tc>
        <w:tc>
          <w:tcPr>
            <w:tcW w:w="174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r>
      <w:tr>
        <w:trPr>
          <w:trHeight w:val="239"/>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3,000</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132,390</w:t>
            </w:r>
          </w:p>
        </w:tc>
        <w:tc>
          <w:tcPr>
            <w:tcW w:w="17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430"/>
        </w:trPr>
        <w:tc>
          <w:tcPr>
            <w:tcW w:w="2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49</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6"/>
        </w:trPr>
        <w:tc>
          <w:tcPr>
            <w:tcW w:w="2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8"/>
        </w:trPr>
        <w:tc>
          <w:tcPr>
            <w:tcW w:w="2140" w:type="dxa"/>
            <w:vAlign w:val="bottom"/>
            <w:tcBorders>
              <w:left w:val="single" w:sz="8" w:color="auto"/>
              <w:right w:val="single" w:sz="8" w:color="auto"/>
            </w:tcBorders>
            <w:shd w:val="clear" w:color="auto" w:fill="000000"/>
          </w:tcPr>
          <w:p>
            <w:pPr>
              <w:spacing w:after="0"/>
              <w:rPr>
                <w:sz w:val="5"/>
                <w:szCs w:val="5"/>
                <w:color w:val="auto"/>
              </w:rPr>
            </w:pPr>
          </w:p>
        </w:tc>
        <w:tc>
          <w:tcPr>
            <w:tcW w:w="2020" w:type="dxa"/>
            <w:vAlign w:val="bottom"/>
            <w:tcBorders>
              <w:right w:val="single" w:sz="8" w:color="auto"/>
            </w:tcBorders>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440" w:type="dxa"/>
            <w:vAlign w:val="bottom"/>
            <w:tcBorders>
              <w:right w:val="single" w:sz="8" w:color="auto"/>
            </w:tcBorders>
            <w:shd w:val="clear" w:color="auto" w:fill="000000"/>
          </w:tcPr>
          <w:p>
            <w:pPr>
              <w:spacing w:after="0"/>
              <w:rPr>
                <w:sz w:val="5"/>
                <w:szCs w:val="5"/>
                <w:color w:val="auto"/>
              </w:rPr>
            </w:pPr>
          </w:p>
        </w:tc>
        <w:tc>
          <w:tcPr>
            <w:tcW w:w="1740" w:type="dxa"/>
            <w:vAlign w:val="bottom"/>
            <w:tcBorders>
              <w:right w:val="single" w:sz="8" w:color="auto"/>
            </w:tcBorders>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500" w:type="dxa"/>
            <w:vAlign w:val="bottom"/>
            <w:tcBorders>
              <w:right w:val="single" w:sz="8" w:color="auto"/>
            </w:tcBorders>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-2314575</wp:posOffset>
            </wp:positionV>
            <wp:extent cx="3782060" cy="1706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782060" cy="17068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52" w:name="page53"/>
    <w:bookmarkEnd w:id="52"/>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tbl>
      <w:tblPr>
        <w:tblLayout w:type="fixed"/>
        <w:tblInd w:w="17" w:type="dxa"/>
        <w:tblCellMar>
          <w:top w:w="0" w:type="dxa"/>
          <w:left w:w="0" w:type="dxa"/>
          <w:bottom w:w="0" w:type="dxa"/>
          <w:right w:w="0" w:type="dxa"/>
        </w:tblCellMar>
      </w:tblPr>
      <w:tr>
        <w:trPr>
          <w:trHeight w:val="203"/>
        </w:trPr>
        <w:tc>
          <w:tcPr>
            <w:tcW w:w="1440" w:type="dxa"/>
            <w:vAlign w:val="bottom"/>
            <w:tcBorders>
              <w:top w:val="single" w:sz="8" w:color="auto"/>
              <w:left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40" w:type="dxa"/>
            <w:vAlign w:val="bottom"/>
            <w:tcBorders>
              <w:top w:val="single" w:sz="8" w:color="auto"/>
              <w:bottom w:val="single" w:sz="8" w:color="auto"/>
              <w:right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420" w:type="dxa"/>
            <w:vAlign w:val="bottom"/>
            <w:tcBorders>
              <w:top w:val="single" w:sz="8" w:color="auto"/>
              <w:bottom w:val="single" w:sz="8" w:color="auto"/>
              <w:right w:val="single" w:sz="8" w:color="auto"/>
            </w:tcBorders>
            <w:gridSpan w:val="3"/>
          </w:tcPr>
          <w:p>
            <w:pPr>
              <w:jc w:val="right"/>
              <w:ind w:right="123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58"/>
        </w:trPr>
        <w:tc>
          <w:tcPr>
            <w:tcW w:w="1440" w:type="dxa"/>
            <w:vAlign w:val="bottom"/>
            <w:tcBorders>
              <w:lef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Borders>
              <w:right w:val="single" w:sz="8" w:color="auto"/>
            </w:tcBorders>
          </w:tcPr>
          <w:p>
            <w:pPr>
              <w:jc w:val="center"/>
              <w:ind w:right="123"/>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40" w:type="dxa"/>
            <w:vAlign w:val="bottom"/>
            <w:tcBorders>
              <w:lef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right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40" w:type="dxa"/>
            <w:vAlign w:val="bottom"/>
            <w:tcBorders>
              <w:lef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1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Borders>
              <w:right w:val="single" w:sz="8" w:color="auto"/>
            </w:tcBorders>
          </w:tcPr>
          <w:p>
            <w:pPr>
              <w:jc w:val="right"/>
              <w:ind w:right="394"/>
              <w:spacing w:after="0" w:line="147" w:lineRule="exact"/>
              <w:rPr>
                <w:sz w:val="20"/>
                <w:szCs w:val="20"/>
                <w:color w:val="auto"/>
              </w:rPr>
            </w:pPr>
            <w:r>
              <w:rPr>
                <w:rFonts w:ascii="Times New Roman" w:cs="Times New Roman" w:eastAsia="Times New Roman" w:hAnsi="Times New Roman"/>
                <w:sz w:val="14"/>
                <w:szCs w:val="14"/>
                <w:b w:val="1"/>
                <w:bCs w:val="1"/>
                <w:color w:val="auto"/>
              </w:rPr>
              <w:t>Value Realized</w:t>
            </w:r>
          </w:p>
        </w:tc>
        <w:tc>
          <w:tcPr>
            <w:tcW w:w="160" w:type="dxa"/>
            <w:vAlign w:val="bottom"/>
          </w:tcPr>
          <w:p>
            <w:pPr>
              <w:spacing w:after="0"/>
              <w:rPr>
                <w:sz w:val="12"/>
                <w:szCs w:val="12"/>
                <w:color w:val="auto"/>
              </w:rPr>
            </w:pPr>
          </w:p>
        </w:tc>
        <w:tc>
          <w:tcPr>
            <w:tcW w:w="1580" w:type="dxa"/>
            <w:vAlign w:val="bottom"/>
            <w:tcBorders>
              <w:right w:val="single" w:sz="8" w:color="auto"/>
            </w:tcBorders>
          </w:tcPr>
          <w:p>
            <w:pPr>
              <w:jc w:val="center"/>
              <w:ind w:right="123"/>
              <w:spacing w:after="0" w:line="147"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340" w:type="dxa"/>
            <w:vAlign w:val="bottom"/>
          </w:tcPr>
          <w:p>
            <w:pPr>
              <w:spacing w:after="0"/>
              <w:rPr>
                <w:sz w:val="12"/>
                <w:szCs w:val="12"/>
                <w:color w:val="auto"/>
              </w:rPr>
            </w:pPr>
          </w:p>
        </w:tc>
        <w:tc>
          <w:tcPr>
            <w:tcW w:w="1500" w:type="dxa"/>
            <w:vAlign w:val="bottom"/>
            <w:tcBorders>
              <w:right w:val="single" w:sz="8" w:color="auto"/>
            </w:tcBorders>
          </w:tcPr>
          <w:p>
            <w:pPr>
              <w:jc w:val="right"/>
              <w:ind w:right="337"/>
              <w:spacing w:after="0" w:line="147" w:lineRule="exact"/>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203"/>
        </w:trPr>
        <w:tc>
          <w:tcPr>
            <w:tcW w:w="214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on Exercise (#)</w:t>
            </w:r>
            <w:r>
              <w:rPr>
                <w:rFonts w:ascii="Times New Roman" w:cs="Times New Roman" w:eastAsia="Times New Roman" w:hAnsi="Times New Roman"/>
                <w:sz w:val="23"/>
                <w:szCs w:val="23"/>
                <w:b w:val="1"/>
                <w:bCs w:val="1"/>
                <w:color w:val="auto"/>
                <w:w w:val="99"/>
                <w:vertAlign w:val="superscript"/>
              </w:rPr>
              <w:t>(1)</w:t>
            </w:r>
          </w:p>
        </w:tc>
        <w:tc>
          <w:tcPr>
            <w:tcW w:w="12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on Exercise ($)</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on Vesting (#)</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on Vesting ($)</w:t>
            </w:r>
          </w:p>
        </w:tc>
        <w:tc>
          <w:tcPr>
            <w:tcW w:w="0" w:type="dxa"/>
            <w:vAlign w:val="bottom"/>
          </w:tcPr>
          <w:p>
            <w:pPr>
              <w:spacing w:after="0"/>
              <w:rPr>
                <w:sz w:val="1"/>
                <w:szCs w:val="1"/>
                <w:color w:val="auto"/>
              </w:rPr>
            </w:pPr>
          </w:p>
        </w:tc>
      </w:tr>
      <w:tr>
        <w:trPr>
          <w:trHeight w:val="228"/>
        </w:trPr>
        <w:tc>
          <w:tcPr>
            <w:tcW w:w="1440" w:type="dxa"/>
            <w:vAlign w:val="bottom"/>
            <w:tcBorders>
              <w:left w:val="single" w:sz="8" w:color="auto"/>
            </w:tcBorders>
            <w:shd w:val="clear" w:color="auto" w:fill="CCEDFF"/>
          </w:tcPr>
          <w:p>
            <w:pPr>
              <w:spacing w:after="0"/>
              <w:rPr>
                <w:sz w:val="19"/>
                <w:szCs w:val="19"/>
                <w:color w:val="auto"/>
              </w:rPr>
            </w:pPr>
          </w:p>
        </w:tc>
        <w:tc>
          <w:tcPr>
            <w:tcW w:w="700" w:type="dxa"/>
            <w:vAlign w:val="bottom"/>
            <w:tcBorders>
              <w:right w:val="single" w:sz="8" w:color="auto"/>
            </w:tcBorders>
            <w:shd w:val="clear" w:color="auto" w:fill="CCEDFF"/>
          </w:tcPr>
          <w:p>
            <w:pPr>
              <w:spacing w:after="0"/>
              <w:rPr>
                <w:sz w:val="19"/>
                <w:szCs w:val="19"/>
                <w:color w:val="auto"/>
              </w:rPr>
            </w:pPr>
          </w:p>
        </w:tc>
        <w:tc>
          <w:tcPr>
            <w:tcW w:w="160" w:type="dxa"/>
            <w:vAlign w:val="bottom"/>
            <w:shd w:val="clear" w:color="auto" w:fill="CCEDFF"/>
          </w:tcPr>
          <w:p>
            <w:pPr>
              <w:spacing w:after="0"/>
              <w:rPr>
                <w:sz w:val="19"/>
                <w:szCs w:val="19"/>
                <w:color w:val="auto"/>
              </w:rPr>
            </w:pPr>
          </w:p>
        </w:tc>
        <w:tc>
          <w:tcPr>
            <w:tcW w:w="1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120" w:type="dxa"/>
            <w:vAlign w:val="bottom"/>
            <w:tcBorders>
              <w:right w:val="single" w:sz="8" w:color="auto"/>
            </w:tcBorders>
            <w:shd w:val="clear" w:color="auto" w:fill="CCEDFF"/>
          </w:tcPr>
          <w:p>
            <w:pPr>
              <w:spacing w:after="0"/>
              <w:rPr>
                <w:sz w:val="19"/>
                <w:szCs w:val="19"/>
                <w:color w:val="auto"/>
              </w:rPr>
            </w:pP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4"/>
              <w:spacing w:after="0"/>
              <w:rPr>
                <w:sz w:val="20"/>
                <w:szCs w:val="20"/>
                <w:color w:val="auto"/>
              </w:rPr>
            </w:pPr>
            <w:r>
              <w:rPr>
                <w:rFonts w:ascii="Times New Roman" w:cs="Times New Roman" w:eastAsia="Times New Roman" w:hAnsi="Times New Roman"/>
                <w:sz w:val="18"/>
                <w:szCs w:val="18"/>
                <w:color w:val="auto"/>
              </w:rPr>
              <w:t>391,663</w:t>
            </w:r>
          </w:p>
        </w:tc>
        <w:tc>
          <w:tcPr>
            <w:tcW w:w="160" w:type="dxa"/>
            <w:vAlign w:val="bottom"/>
            <w:shd w:val="clear" w:color="auto" w:fill="CCEDFF"/>
          </w:tcPr>
          <w:p>
            <w:pPr>
              <w:spacing w:after="0"/>
              <w:rPr>
                <w:sz w:val="19"/>
                <w:szCs w:val="19"/>
                <w:color w:val="auto"/>
              </w:rPr>
            </w:pPr>
          </w:p>
        </w:tc>
        <w:tc>
          <w:tcPr>
            <w:tcW w:w="1580" w:type="dxa"/>
            <w:vAlign w:val="bottom"/>
            <w:tcBorders>
              <w:right w:val="single" w:sz="8" w:color="auto"/>
            </w:tcBorders>
            <w:shd w:val="clear" w:color="auto" w:fill="CCEDFF"/>
          </w:tcPr>
          <w:p>
            <w:pPr>
              <w:spacing w:after="0"/>
              <w:rPr>
                <w:sz w:val="19"/>
                <w:szCs w:val="19"/>
                <w:color w:val="auto"/>
              </w:rPr>
            </w:pPr>
          </w:p>
        </w:tc>
        <w:tc>
          <w:tcPr>
            <w:tcW w:w="340" w:type="dxa"/>
            <w:vAlign w:val="bottom"/>
            <w:shd w:val="clear" w:color="auto" w:fill="CCEDFF"/>
          </w:tcPr>
          <w:p>
            <w:pPr>
              <w:spacing w:after="0"/>
              <w:rPr>
                <w:sz w:val="19"/>
                <w:szCs w:val="19"/>
                <w:color w:val="auto"/>
              </w:rPr>
            </w:pPr>
          </w:p>
        </w:tc>
        <w:tc>
          <w:tcPr>
            <w:tcW w:w="1500" w:type="dxa"/>
            <w:vAlign w:val="bottom"/>
            <w:tcBorders>
              <w:right w:val="single" w:sz="8" w:color="auto"/>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140" w:type="dxa"/>
            <w:vAlign w:val="bottom"/>
            <w:tcBorders>
              <w:left w:val="single" w:sz="8" w:color="auto"/>
              <w:right w:val="single" w:sz="8" w:color="auto"/>
            </w:tcBorders>
            <w:gridSpan w:val="2"/>
            <w:vMerge w:val="restart"/>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B. Lynne Parshall</w:t>
            </w:r>
          </w:p>
        </w:tc>
        <w:tc>
          <w:tcPr>
            <w:tcW w:w="160" w:type="dxa"/>
            <w:vAlign w:val="bottom"/>
            <w:shd w:val="clear" w:color="auto" w:fill="CCEDFF"/>
          </w:tcPr>
          <w:p>
            <w:pPr>
              <w:spacing w:after="0"/>
              <w:rPr>
                <w:sz w:val="20"/>
                <w:szCs w:val="20"/>
                <w:color w:val="auto"/>
              </w:rPr>
            </w:pPr>
          </w:p>
        </w:tc>
        <w:tc>
          <w:tcPr>
            <w:tcW w:w="1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tcBorders>
              <w:right w:val="single" w:sz="8" w:color="auto"/>
            </w:tcBorders>
            <w:shd w:val="clear" w:color="auto" w:fill="CCEDFF"/>
          </w:tcPr>
          <w:p>
            <w:pPr>
              <w:spacing w:after="0"/>
              <w:rPr>
                <w:sz w:val="20"/>
                <w:szCs w:val="20"/>
                <w:color w:val="auto"/>
              </w:rPr>
            </w:pP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4"/>
              <w:spacing w:after="0"/>
              <w:rPr>
                <w:sz w:val="20"/>
                <w:szCs w:val="20"/>
                <w:color w:val="auto"/>
              </w:rPr>
            </w:pPr>
            <w:r>
              <w:rPr>
                <w:rFonts w:ascii="Times New Roman" w:cs="Times New Roman" w:eastAsia="Times New Roman" w:hAnsi="Times New Roman"/>
                <w:sz w:val="18"/>
                <w:szCs w:val="18"/>
                <w:color w:val="auto"/>
              </w:rPr>
              <w:t>78,437</w:t>
            </w:r>
          </w:p>
        </w:tc>
        <w:tc>
          <w:tcPr>
            <w:tcW w:w="160" w:type="dxa"/>
            <w:vAlign w:val="bottom"/>
            <w:shd w:val="clear" w:color="auto" w:fill="CCEDFF"/>
          </w:tcPr>
          <w:p>
            <w:pPr>
              <w:spacing w:after="0"/>
              <w:rPr>
                <w:sz w:val="20"/>
                <w:szCs w:val="20"/>
                <w:color w:val="auto"/>
              </w:rPr>
            </w:pPr>
          </w:p>
        </w:tc>
        <w:tc>
          <w:tcPr>
            <w:tcW w:w="1580" w:type="dxa"/>
            <w:vAlign w:val="bottom"/>
            <w:tcBorders>
              <w:right w:val="single" w:sz="8" w:color="auto"/>
            </w:tcBorders>
            <w:vMerge w:val="restart"/>
            <w:shd w:val="clear" w:color="auto" w:fill="CCEDFF"/>
          </w:tcPr>
          <w:p>
            <w:pPr>
              <w:jc w:val="right"/>
              <w:ind w:right="43"/>
              <w:spacing w:after="0"/>
              <w:rPr>
                <w:sz w:val="20"/>
                <w:szCs w:val="20"/>
                <w:color w:val="auto"/>
              </w:rPr>
            </w:pPr>
            <w:r>
              <w:rPr>
                <w:rFonts w:ascii="Times New Roman" w:cs="Times New Roman" w:eastAsia="Times New Roman" w:hAnsi="Times New Roman"/>
                <w:sz w:val="18"/>
                <w:szCs w:val="18"/>
                <w:color w:val="auto"/>
              </w:rPr>
              <w:t>16,033</w:t>
            </w:r>
          </w:p>
        </w:tc>
        <w:tc>
          <w:tcPr>
            <w:tcW w:w="340" w:type="dxa"/>
            <w:vAlign w:val="bottom"/>
            <w:vMerge w:val="restart"/>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vMerge w:val="restart"/>
            <w:shd w:val="clear" w:color="auto" w:fill="CCEDFF"/>
          </w:tcPr>
          <w:p>
            <w:pPr>
              <w:jc w:val="right"/>
              <w:ind w:right="37"/>
              <w:spacing w:after="0"/>
              <w:rPr>
                <w:sz w:val="20"/>
                <w:szCs w:val="20"/>
                <w:color w:val="auto"/>
              </w:rPr>
            </w:pPr>
            <w:r>
              <w:rPr>
                <w:rFonts w:ascii="Times New Roman" w:cs="Times New Roman" w:eastAsia="Times New Roman" w:hAnsi="Times New Roman"/>
                <w:sz w:val="18"/>
                <w:szCs w:val="18"/>
                <w:color w:val="auto"/>
              </w:rPr>
              <w:t>771,027</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gridSpan w:val="2"/>
            <w:vMerge w:val="continue"/>
            <w:shd w:val="clear" w:color="auto" w:fill="CCEDFF"/>
          </w:tcPr>
          <w:p>
            <w:pPr>
              <w:spacing w:after="0"/>
              <w:rPr>
                <w:sz w:val="10"/>
                <w:szCs w:val="10"/>
                <w:color w:val="auto"/>
              </w:rPr>
            </w:pPr>
          </w:p>
        </w:tc>
        <w:tc>
          <w:tcPr>
            <w:tcW w:w="160" w:type="dxa"/>
            <w:vAlign w:val="bottom"/>
            <w:shd w:val="clear" w:color="auto" w:fill="CCEDFF"/>
          </w:tcPr>
          <w:p>
            <w:pPr>
              <w:spacing w:after="0"/>
              <w:rPr>
                <w:sz w:val="10"/>
                <w:szCs w:val="10"/>
                <w:color w:val="auto"/>
              </w:rPr>
            </w:pPr>
          </w:p>
        </w:tc>
        <w:tc>
          <w:tcPr>
            <w:tcW w:w="174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20" w:type="dxa"/>
            <w:vAlign w:val="bottom"/>
            <w:tcBorders>
              <w:right w:val="single" w:sz="8" w:color="auto"/>
            </w:tcBorders>
            <w:shd w:val="clear" w:color="auto" w:fill="CCEDFF"/>
          </w:tcPr>
          <w:p>
            <w:pPr>
              <w:spacing w:after="0"/>
              <w:rPr>
                <w:sz w:val="10"/>
                <w:szCs w:val="10"/>
                <w:color w:val="auto"/>
              </w:rPr>
            </w:pPr>
          </w:p>
        </w:tc>
        <w:tc>
          <w:tcPr>
            <w:tcW w:w="380" w:type="dxa"/>
            <w:vAlign w:val="bottom"/>
            <w:vMerge w:val="restart"/>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vMerge w:val="restart"/>
            <w:shd w:val="clear" w:color="auto" w:fill="CCEDFF"/>
          </w:tcPr>
          <w:p>
            <w:pPr>
              <w:jc w:val="right"/>
              <w:ind w:right="34"/>
              <w:spacing w:after="0"/>
              <w:rPr>
                <w:sz w:val="20"/>
                <w:szCs w:val="20"/>
                <w:color w:val="auto"/>
              </w:rPr>
            </w:pPr>
            <w:r>
              <w:rPr>
                <w:rFonts w:ascii="Times New Roman" w:cs="Times New Roman" w:eastAsia="Times New Roman" w:hAnsi="Times New Roman"/>
                <w:sz w:val="18"/>
                <w:szCs w:val="18"/>
                <w:color w:val="auto"/>
              </w:rPr>
              <w:t>81,444</w:t>
            </w:r>
          </w:p>
        </w:tc>
        <w:tc>
          <w:tcPr>
            <w:tcW w:w="160" w:type="dxa"/>
            <w:vAlign w:val="bottom"/>
            <w:shd w:val="clear" w:color="auto" w:fill="CCEDFF"/>
          </w:tcPr>
          <w:p>
            <w:pPr>
              <w:spacing w:after="0"/>
              <w:rPr>
                <w:sz w:val="10"/>
                <w:szCs w:val="10"/>
                <w:color w:val="auto"/>
              </w:rPr>
            </w:pPr>
          </w:p>
        </w:tc>
        <w:tc>
          <w:tcPr>
            <w:tcW w:w="1580" w:type="dxa"/>
            <w:vAlign w:val="bottom"/>
            <w:tcBorders>
              <w:right w:val="single" w:sz="8" w:color="auto"/>
            </w:tcBorders>
            <w:vMerge w:val="continue"/>
            <w:shd w:val="clear" w:color="auto" w:fill="CCEDFF"/>
          </w:tcPr>
          <w:p>
            <w:pPr>
              <w:spacing w:after="0"/>
              <w:rPr>
                <w:sz w:val="10"/>
                <w:szCs w:val="10"/>
                <w:color w:val="auto"/>
              </w:rPr>
            </w:pPr>
          </w:p>
        </w:tc>
        <w:tc>
          <w:tcPr>
            <w:tcW w:w="340" w:type="dxa"/>
            <w:vAlign w:val="bottom"/>
            <w:vMerge w:val="continue"/>
            <w:shd w:val="clear" w:color="auto" w:fill="CCEDFF"/>
          </w:tcPr>
          <w:p>
            <w:pPr>
              <w:spacing w:after="0"/>
              <w:rPr>
                <w:sz w:val="10"/>
                <w:szCs w:val="10"/>
                <w:color w:val="auto"/>
              </w:rPr>
            </w:pPr>
          </w:p>
        </w:tc>
        <w:tc>
          <w:tcPr>
            <w:tcW w:w="1500" w:type="dxa"/>
            <w:vAlign w:val="bottom"/>
            <w:tcBorders>
              <w:right w:val="single" w:sz="8" w:color="auto"/>
            </w:tcBorders>
            <w:vMerge w:val="continue"/>
            <w:shd w:val="clear" w:color="auto" w:fill="CCED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40" w:type="dxa"/>
            <w:vAlign w:val="bottom"/>
            <w:tcBorders>
              <w:left w:val="single" w:sz="8" w:color="auto"/>
            </w:tcBorders>
            <w:shd w:val="clear" w:color="auto" w:fill="CCEDFF"/>
          </w:tcPr>
          <w:p>
            <w:pPr>
              <w:spacing w:after="0"/>
              <w:rPr>
                <w:sz w:val="10"/>
                <w:szCs w:val="10"/>
                <w:color w:val="auto"/>
              </w:rPr>
            </w:pPr>
          </w:p>
        </w:tc>
        <w:tc>
          <w:tcPr>
            <w:tcW w:w="700" w:type="dxa"/>
            <w:vAlign w:val="bottom"/>
            <w:tcBorders>
              <w:right w:val="single" w:sz="8" w:color="auto"/>
            </w:tcBorders>
            <w:shd w:val="clear" w:color="auto" w:fill="CCEDFF"/>
          </w:tcPr>
          <w:p>
            <w:pPr>
              <w:spacing w:after="0"/>
              <w:rPr>
                <w:sz w:val="10"/>
                <w:szCs w:val="10"/>
                <w:color w:val="auto"/>
              </w:rPr>
            </w:pPr>
          </w:p>
        </w:tc>
        <w:tc>
          <w:tcPr>
            <w:tcW w:w="160" w:type="dxa"/>
            <w:vAlign w:val="bottom"/>
            <w:shd w:val="clear" w:color="auto" w:fill="CCEDFF"/>
          </w:tcPr>
          <w:p>
            <w:pPr>
              <w:spacing w:after="0"/>
              <w:rPr>
                <w:sz w:val="10"/>
                <w:szCs w:val="10"/>
                <w:color w:val="auto"/>
              </w:rPr>
            </w:pPr>
          </w:p>
        </w:tc>
        <w:tc>
          <w:tcPr>
            <w:tcW w:w="1740" w:type="dxa"/>
            <w:vAlign w:val="bottom"/>
            <w:vMerge w:val="continue"/>
            <w:shd w:val="clear" w:color="auto" w:fill="CCEDFF"/>
          </w:tcPr>
          <w:p>
            <w:pPr>
              <w:spacing w:after="0"/>
              <w:rPr>
                <w:sz w:val="10"/>
                <w:szCs w:val="10"/>
                <w:color w:val="auto"/>
              </w:rPr>
            </w:pPr>
          </w:p>
        </w:tc>
        <w:tc>
          <w:tcPr>
            <w:tcW w:w="120" w:type="dxa"/>
            <w:vAlign w:val="bottom"/>
            <w:tcBorders>
              <w:right w:val="single" w:sz="8" w:color="auto"/>
            </w:tcBorders>
            <w:shd w:val="clear" w:color="auto" w:fill="CCEDFF"/>
          </w:tcPr>
          <w:p>
            <w:pPr>
              <w:spacing w:after="0"/>
              <w:rPr>
                <w:sz w:val="10"/>
                <w:szCs w:val="10"/>
                <w:color w:val="auto"/>
              </w:rPr>
            </w:pPr>
          </w:p>
        </w:tc>
        <w:tc>
          <w:tcPr>
            <w:tcW w:w="380" w:type="dxa"/>
            <w:vAlign w:val="bottom"/>
            <w:vMerge w:val="continue"/>
            <w:shd w:val="clear" w:color="auto" w:fill="CCEDFF"/>
          </w:tcPr>
          <w:p>
            <w:pPr>
              <w:spacing w:after="0"/>
              <w:rPr>
                <w:sz w:val="10"/>
                <w:szCs w:val="10"/>
                <w:color w:val="auto"/>
              </w:rPr>
            </w:pPr>
          </w:p>
        </w:tc>
        <w:tc>
          <w:tcPr>
            <w:tcW w:w="1440" w:type="dxa"/>
            <w:vAlign w:val="bottom"/>
            <w:tcBorders>
              <w:right w:val="single" w:sz="8" w:color="auto"/>
            </w:tcBorders>
            <w:vMerge w:val="continue"/>
            <w:shd w:val="clear" w:color="auto" w:fill="CCEDFF"/>
          </w:tcPr>
          <w:p>
            <w:pPr>
              <w:spacing w:after="0"/>
              <w:rPr>
                <w:sz w:val="10"/>
                <w:szCs w:val="10"/>
                <w:color w:val="auto"/>
              </w:rPr>
            </w:pPr>
          </w:p>
        </w:tc>
        <w:tc>
          <w:tcPr>
            <w:tcW w:w="160" w:type="dxa"/>
            <w:vAlign w:val="bottom"/>
            <w:shd w:val="clear" w:color="auto" w:fill="CCEDFF"/>
          </w:tcPr>
          <w:p>
            <w:pPr>
              <w:spacing w:after="0"/>
              <w:rPr>
                <w:sz w:val="10"/>
                <w:szCs w:val="10"/>
                <w:color w:val="auto"/>
              </w:rPr>
            </w:pPr>
          </w:p>
        </w:tc>
        <w:tc>
          <w:tcPr>
            <w:tcW w:w="1580" w:type="dxa"/>
            <w:vAlign w:val="bottom"/>
            <w:tcBorders>
              <w:right w:val="single" w:sz="8" w:color="auto"/>
            </w:tcBorders>
            <w:shd w:val="clear" w:color="auto" w:fill="CCEDFF"/>
          </w:tcPr>
          <w:p>
            <w:pPr>
              <w:spacing w:after="0"/>
              <w:rPr>
                <w:sz w:val="10"/>
                <w:szCs w:val="10"/>
                <w:color w:val="auto"/>
              </w:rPr>
            </w:pPr>
          </w:p>
        </w:tc>
        <w:tc>
          <w:tcPr>
            <w:tcW w:w="340" w:type="dxa"/>
            <w:vAlign w:val="bottom"/>
            <w:shd w:val="clear" w:color="auto" w:fill="CCEDFF"/>
          </w:tcPr>
          <w:p>
            <w:pPr>
              <w:spacing w:after="0"/>
              <w:rPr>
                <w:sz w:val="10"/>
                <w:szCs w:val="10"/>
                <w:color w:val="auto"/>
              </w:rPr>
            </w:pPr>
          </w:p>
        </w:tc>
        <w:tc>
          <w:tcPr>
            <w:tcW w:w="1500" w:type="dxa"/>
            <w:vAlign w:val="bottom"/>
            <w:tcBorders>
              <w:right w:val="single" w:sz="8" w:color="auto"/>
            </w:tcBorders>
            <w:shd w:val="clear" w:color="auto" w:fill="CCEDFF"/>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440" w:type="dxa"/>
            <w:vAlign w:val="bottom"/>
            <w:tcBorders>
              <w:left w:val="single" w:sz="8" w:color="auto"/>
              <w:bottom w:val="single" w:sz="8" w:color="auto"/>
            </w:tcBorders>
            <w:shd w:val="clear" w:color="auto" w:fill="CCEDFF"/>
          </w:tcPr>
          <w:p>
            <w:pPr>
              <w:spacing w:after="0"/>
              <w:rPr>
                <w:sz w:val="21"/>
                <w:szCs w:val="21"/>
                <w:color w:val="auto"/>
              </w:rPr>
            </w:pPr>
          </w:p>
        </w:tc>
        <w:tc>
          <w:tcPr>
            <w:tcW w:w="700" w:type="dxa"/>
            <w:vAlign w:val="bottom"/>
            <w:tcBorders>
              <w:bottom w:val="single" w:sz="8" w:color="auto"/>
              <w:right w:val="single" w:sz="8" w:color="auto"/>
            </w:tcBorders>
            <w:shd w:val="clear" w:color="auto" w:fill="CCEDFF"/>
          </w:tcPr>
          <w:p>
            <w:pPr>
              <w:spacing w:after="0"/>
              <w:rPr>
                <w:sz w:val="21"/>
                <w:szCs w:val="21"/>
                <w:color w:val="auto"/>
              </w:rPr>
            </w:pPr>
          </w:p>
        </w:tc>
        <w:tc>
          <w:tcPr>
            <w:tcW w:w="160" w:type="dxa"/>
            <w:vAlign w:val="bottom"/>
            <w:tcBorders>
              <w:bottom w:val="single" w:sz="8" w:color="auto"/>
            </w:tcBorders>
            <w:shd w:val="clear" w:color="auto" w:fill="CCEDFF"/>
          </w:tcPr>
          <w:p>
            <w:pPr>
              <w:spacing w:after="0"/>
              <w:rPr>
                <w:sz w:val="21"/>
                <w:szCs w:val="21"/>
                <w:color w:val="auto"/>
              </w:rPr>
            </w:pPr>
          </w:p>
        </w:tc>
        <w:tc>
          <w:tcPr>
            <w:tcW w:w="17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120" w:type="dxa"/>
            <w:vAlign w:val="bottom"/>
            <w:tcBorders>
              <w:bottom w:val="single" w:sz="8" w:color="auto"/>
              <w:right w:val="single" w:sz="8" w:color="auto"/>
            </w:tcBorders>
            <w:shd w:val="clear" w:color="auto" w:fill="CCEDFF"/>
          </w:tcPr>
          <w:p>
            <w:pPr>
              <w:spacing w:after="0"/>
              <w:rPr>
                <w:sz w:val="21"/>
                <w:szCs w:val="21"/>
                <w:color w:val="auto"/>
              </w:rPr>
            </w:pPr>
          </w:p>
        </w:tc>
        <w:tc>
          <w:tcPr>
            <w:tcW w:w="38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shd w:val="clear" w:color="auto" w:fill="CCEDFF"/>
          </w:tcPr>
          <w:p>
            <w:pPr>
              <w:jc w:val="right"/>
              <w:ind w:right="34"/>
              <w:spacing w:after="0"/>
              <w:rPr>
                <w:sz w:val="20"/>
                <w:szCs w:val="20"/>
                <w:color w:val="auto"/>
              </w:rPr>
            </w:pPr>
            <w:r>
              <w:rPr>
                <w:rFonts w:ascii="Times New Roman" w:cs="Times New Roman" w:eastAsia="Times New Roman" w:hAnsi="Times New Roman"/>
                <w:sz w:val="18"/>
                <w:szCs w:val="18"/>
                <w:color w:val="auto"/>
              </w:rPr>
              <w:t>209,408</w:t>
            </w:r>
          </w:p>
        </w:tc>
        <w:tc>
          <w:tcPr>
            <w:tcW w:w="160" w:type="dxa"/>
            <w:vAlign w:val="bottom"/>
            <w:tcBorders>
              <w:bottom w:val="single" w:sz="8" w:color="auto"/>
            </w:tcBorders>
            <w:shd w:val="clear" w:color="auto" w:fill="CCEDFF"/>
          </w:tcPr>
          <w:p>
            <w:pPr>
              <w:spacing w:after="0"/>
              <w:rPr>
                <w:sz w:val="21"/>
                <w:szCs w:val="21"/>
                <w:color w:val="auto"/>
              </w:rPr>
            </w:pPr>
          </w:p>
        </w:tc>
        <w:tc>
          <w:tcPr>
            <w:tcW w:w="1580" w:type="dxa"/>
            <w:vAlign w:val="bottom"/>
            <w:tcBorders>
              <w:bottom w:val="single" w:sz="8" w:color="auto"/>
              <w:right w:val="single" w:sz="8" w:color="auto"/>
            </w:tcBorders>
            <w:shd w:val="clear" w:color="auto" w:fill="CCEDFF"/>
          </w:tcPr>
          <w:p>
            <w:pPr>
              <w:spacing w:after="0"/>
              <w:rPr>
                <w:sz w:val="21"/>
                <w:szCs w:val="21"/>
                <w:color w:val="auto"/>
              </w:rPr>
            </w:pPr>
          </w:p>
        </w:tc>
        <w:tc>
          <w:tcPr>
            <w:tcW w:w="340" w:type="dxa"/>
            <w:vAlign w:val="bottom"/>
            <w:tcBorders>
              <w:bottom w:val="single" w:sz="8" w:color="auto"/>
            </w:tcBorders>
            <w:shd w:val="clear" w:color="auto" w:fill="CCEDFF"/>
          </w:tcPr>
          <w:p>
            <w:pPr>
              <w:spacing w:after="0"/>
              <w:rPr>
                <w:sz w:val="21"/>
                <w:szCs w:val="21"/>
                <w:color w:val="auto"/>
              </w:rPr>
            </w:pPr>
          </w:p>
        </w:tc>
        <w:tc>
          <w:tcPr>
            <w:tcW w:w="1500" w:type="dxa"/>
            <w:vAlign w:val="bottom"/>
            <w:tcBorders>
              <w:bottom w:val="single" w:sz="8" w:color="auto"/>
              <w:right w:val="single" w:sz="8" w:color="auto"/>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40" w:type="dxa"/>
            <w:vAlign w:val="bottom"/>
            <w:tcBorders>
              <w:left w:val="single" w:sz="8" w:color="auto"/>
              <w:bottom w:val="single" w:sz="8" w:color="auto"/>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Brett Monia</w:t>
            </w:r>
          </w:p>
        </w:tc>
        <w:tc>
          <w:tcPr>
            <w:tcW w:w="16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6,402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307,872</w:t>
            </w:r>
          </w:p>
        </w:tc>
        <w:tc>
          <w:tcPr>
            <w:tcW w:w="0" w:type="dxa"/>
            <w:vAlign w:val="bottom"/>
          </w:tcPr>
          <w:p>
            <w:pPr>
              <w:spacing w:after="0"/>
              <w:rPr>
                <w:sz w:val="1"/>
                <w:szCs w:val="1"/>
                <w:color w:val="auto"/>
              </w:rPr>
            </w:pPr>
          </w:p>
        </w:tc>
      </w:tr>
      <w:tr>
        <w:trPr>
          <w:trHeight w:val="232"/>
        </w:trPr>
        <w:tc>
          <w:tcPr>
            <w:tcW w:w="2140" w:type="dxa"/>
            <w:vAlign w:val="bottom"/>
            <w:tcBorders>
              <w:left w:val="single" w:sz="8" w:color="auto"/>
              <w:right w:val="single" w:sz="8" w:color="auto"/>
            </w:tcBorders>
            <w:gridSpan w:val="2"/>
            <w:vMerge w:val="restart"/>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Richard Geary</w:t>
            </w:r>
          </w:p>
        </w:tc>
        <w:tc>
          <w:tcPr>
            <w:tcW w:w="160" w:type="dxa"/>
            <w:vAlign w:val="bottom"/>
            <w:shd w:val="clear" w:color="auto" w:fill="CCEDFF"/>
          </w:tcPr>
          <w:p>
            <w:pPr>
              <w:spacing w:after="0"/>
              <w:rPr>
                <w:sz w:val="20"/>
                <w:szCs w:val="20"/>
                <w:color w:val="auto"/>
              </w:rPr>
            </w:pPr>
          </w:p>
        </w:tc>
        <w:tc>
          <w:tcPr>
            <w:tcW w:w="1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120" w:type="dxa"/>
            <w:vAlign w:val="bottom"/>
            <w:tcBorders>
              <w:right w:val="single" w:sz="8" w:color="auto"/>
            </w:tcBorders>
            <w:shd w:val="clear" w:color="auto" w:fill="CCEDFF"/>
          </w:tcPr>
          <w:p>
            <w:pPr>
              <w:spacing w:after="0"/>
              <w:rPr>
                <w:sz w:val="20"/>
                <w:szCs w:val="20"/>
                <w:color w:val="auto"/>
              </w:rPr>
            </w:pPr>
          </w:p>
        </w:tc>
        <w:tc>
          <w:tcPr>
            <w:tcW w:w="380" w:type="dxa"/>
            <w:vAlign w:val="bottom"/>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CEDFF"/>
          </w:tcPr>
          <w:p>
            <w:pPr>
              <w:jc w:val="right"/>
              <w:ind w:right="34"/>
              <w:spacing w:after="0"/>
              <w:rPr>
                <w:sz w:val="20"/>
                <w:szCs w:val="20"/>
                <w:color w:val="auto"/>
              </w:rPr>
            </w:pPr>
            <w:r>
              <w:rPr>
                <w:rFonts w:ascii="Times New Roman" w:cs="Times New Roman" w:eastAsia="Times New Roman" w:hAnsi="Times New Roman"/>
                <w:sz w:val="18"/>
                <w:szCs w:val="18"/>
                <w:color w:val="auto"/>
              </w:rPr>
              <w:t>371,096</w:t>
            </w:r>
          </w:p>
        </w:tc>
        <w:tc>
          <w:tcPr>
            <w:tcW w:w="1740" w:type="dxa"/>
            <w:vAlign w:val="bottom"/>
            <w:tcBorders>
              <w:right w:val="single" w:sz="8" w:color="auto"/>
            </w:tcBorders>
            <w:gridSpan w:val="2"/>
            <w:vMerge w:val="restart"/>
            <w:shd w:val="clear" w:color="auto" w:fill="CCEDFF"/>
          </w:tcPr>
          <w:p>
            <w:pPr>
              <w:jc w:val="right"/>
              <w:ind w:right="43"/>
              <w:spacing w:after="0"/>
              <w:rPr>
                <w:sz w:val="20"/>
                <w:szCs w:val="20"/>
                <w:color w:val="auto"/>
              </w:rPr>
            </w:pPr>
            <w:r>
              <w:rPr>
                <w:rFonts w:ascii="Times New Roman" w:cs="Times New Roman" w:eastAsia="Times New Roman" w:hAnsi="Times New Roman"/>
                <w:sz w:val="18"/>
                <w:szCs w:val="18"/>
                <w:color w:val="auto"/>
              </w:rPr>
              <w:t>6,246</w:t>
            </w:r>
          </w:p>
        </w:tc>
        <w:tc>
          <w:tcPr>
            <w:tcW w:w="340" w:type="dxa"/>
            <w:vAlign w:val="bottom"/>
            <w:vMerge w:val="restart"/>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vMerge w:val="restart"/>
            <w:shd w:val="clear" w:color="auto" w:fill="CCEDFF"/>
          </w:tcPr>
          <w:p>
            <w:pPr>
              <w:jc w:val="right"/>
              <w:ind w:right="37"/>
              <w:spacing w:after="0"/>
              <w:rPr>
                <w:sz w:val="20"/>
                <w:szCs w:val="20"/>
                <w:color w:val="auto"/>
              </w:rPr>
            </w:pPr>
            <w:r>
              <w:rPr>
                <w:rFonts w:ascii="Times New Roman" w:cs="Times New Roman" w:eastAsia="Times New Roman" w:hAnsi="Times New Roman"/>
                <w:sz w:val="18"/>
                <w:szCs w:val="18"/>
                <w:color w:val="auto"/>
              </w:rPr>
              <w:t>300,370</w:t>
            </w:r>
          </w:p>
        </w:tc>
        <w:tc>
          <w:tcPr>
            <w:tcW w:w="0" w:type="dxa"/>
            <w:vAlign w:val="bottom"/>
          </w:tcPr>
          <w:p>
            <w:pPr>
              <w:spacing w:after="0"/>
              <w:rPr>
                <w:sz w:val="1"/>
                <w:szCs w:val="1"/>
                <w:color w:val="auto"/>
              </w:rPr>
            </w:pPr>
          </w:p>
        </w:tc>
      </w:tr>
      <w:tr>
        <w:trPr>
          <w:trHeight w:val="117"/>
        </w:trPr>
        <w:tc>
          <w:tcPr>
            <w:tcW w:w="2140" w:type="dxa"/>
            <w:vAlign w:val="bottom"/>
            <w:tcBorders>
              <w:left w:val="single" w:sz="8" w:color="auto"/>
              <w:right w:val="single" w:sz="8" w:color="auto"/>
            </w:tcBorders>
            <w:gridSpan w:val="2"/>
            <w:vMerge w:val="continue"/>
            <w:shd w:val="clear" w:color="auto" w:fill="CCEDFF"/>
          </w:tcPr>
          <w:p>
            <w:pPr>
              <w:spacing w:after="0"/>
              <w:rPr>
                <w:sz w:val="10"/>
                <w:szCs w:val="10"/>
                <w:color w:val="auto"/>
              </w:rPr>
            </w:pPr>
          </w:p>
        </w:tc>
        <w:tc>
          <w:tcPr>
            <w:tcW w:w="160" w:type="dxa"/>
            <w:vAlign w:val="bottom"/>
            <w:shd w:val="clear" w:color="auto" w:fill="CCEDFF"/>
          </w:tcPr>
          <w:p>
            <w:pPr>
              <w:spacing w:after="0"/>
              <w:rPr>
                <w:sz w:val="10"/>
                <w:szCs w:val="10"/>
                <w:color w:val="auto"/>
              </w:rPr>
            </w:pPr>
          </w:p>
        </w:tc>
        <w:tc>
          <w:tcPr>
            <w:tcW w:w="174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right w:val="single" w:sz="8" w:color="auto"/>
            </w:tcBorders>
            <w:shd w:val="clear" w:color="auto" w:fill="CCEDFF"/>
          </w:tcPr>
          <w:p>
            <w:pPr>
              <w:spacing w:after="0"/>
              <w:rPr>
                <w:sz w:val="10"/>
                <w:szCs w:val="10"/>
                <w:color w:val="auto"/>
              </w:rPr>
            </w:pPr>
          </w:p>
        </w:tc>
        <w:tc>
          <w:tcPr>
            <w:tcW w:w="380" w:type="dxa"/>
            <w:vAlign w:val="bottom"/>
            <w:vMerge w:val="restart"/>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vMerge w:val="restart"/>
            <w:shd w:val="clear" w:color="auto" w:fill="CCEDFF"/>
          </w:tcPr>
          <w:p>
            <w:pPr>
              <w:jc w:val="right"/>
              <w:ind w:right="34"/>
              <w:spacing w:after="0"/>
              <w:rPr>
                <w:sz w:val="20"/>
                <w:szCs w:val="20"/>
                <w:color w:val="auto"/>
              </w:rPr>
            </w:pPr>
            <w:r>
              <w:rPr>
                <w:rFonts w:ascii="Times New Roman" w:cs="Times New Roman" w:eastAsia="Times New Roman" w:hAnsi="Times New Roman"/>
                <w:sz w:val="18"/>
                <w:szCs w:val="18"/>
                <w:color w:val="auto"/>
              </w:rPr>
              <w:t>21,176</w:t>
            </w:r>
          </w:p>
        </w:tc>
        <w:tc>
          <w:tcPr>
            <w:tcW w:w="1740" w:type="dxa"/>
            <w:vAlign w:val="bottom"/>
            <w:tcBorders>
              <w:right w:val="single" w:sz="8" w:color="auto"/>
            </w:tcBorders>
            <w:gridSpan w:val="2"/>
            <w:vMerge w:val="continue"/>
            <w:shd w:val="clear" w:color="auto" w:fill="CCEDFF"/>
          </w:tcPr>
          <w:p>
            <w:pPr>
              <w:spacing w:after="0"/>
              <w:rPr>
                <w:sz w:val="10"/>
                <w:szCs w:val="10"/>
                <w:color w:val="auto"/>
              </w:rPr>
            </w:pPr>
          </w:p>
        </w:tc>
        <w:tc>
          <w:tcPr>
            <w:tcW w:w="340" w:type="dxa"/>
            <w:vAlign w:val="bottom"/>
            <w:vMerge w:val="continue"/>
            <w:shd w:val="clear" w:color="auto" w:fill="CCEDFF"/>
          </w:tcPr>
          <w:p>
            <w:pPr>
              <w:spacing w:after="0"/>
              <w:rPr>
                <w:sz w:val="10"/>
                <w:szCs w:val="10"/>
                <w:color w:val="auto"/>
              </w:rPr>
            </w:pPr>
          </w:p>
        </w:tc>
        <w:tc>
          <w:tcPr>
            <w:tcW w:w="1500" w:type="dxa"/>
            <w:vAlign w:val="bottom"/>
            <w:tcBorders>
              <w:right w:val="single" w:sz="8" w:color="auto"/>
            </w:tcBorders>
            <w:vMerge w:val="continue"/>
            <w:shd w:val="clear" w:color="auto" w:fill="CCED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40" w:type="dxa"/>
            <w:vAlign w:val="bottom"/>
            <w:tcBorders>
              <w:left w:val="single" w:sz="8" w:color="auto"/>
              <w:bottom w:val="single" w:sz="8" w:color="auto"/>
            </w:tcBorders>
            <w:shd w:val="clear" w:color="auto" w:fill="CCEDFF"/>
          </w:tcPr>
          <w:p>
            <w:pPr>
              <w:spacing w:after="0"/>
              <w:rPr>
                <w:sz w:val="11"/>
                <w:szCs w:val="11"/>
                <w:color w:val="auto"/>
              </w:rPr>
            </w:pPr>
          </w:p>
        </w:tc>
        <w:tc>
          <w:tcPr>
            <w:tcW w:w="700" w:type="dxa"/>
            <w:vAlign w:val="bottom"/>
            <w:tcBorders>
              <w:bottom w:val="single" w:sz="8" w:color="auto"/>
              <w:right w:val="single" w:sz="8" w:color="auto"/>
            </w:tcBorders>
            <w:shd w:val="clear" w:color="auto" w:fill="CCEDFF"/>
          </w:tcPr>
          <w:p>
            <w:pPr>
              <w:spacing w:after="0"/>
              <w:rPr>
                <w:sz w:val="11"/>
                <w:szCs w:val="11"/>
                <w:color w:val="auto"/>
              </w:rPr>
            </w:pPr>
          </w:p>
        </w:tc>
        <w:tc>
          <w:tcPr>
            <w:tcW w:w="160" w:type="dxa"/>
            <w:vAlign w:val="bottom"/>
            <w:tcBorders>
              <w:bottom w:val="single" w:sz="8" w:color="auto"/>
            </w:tcBorders>
            <w:shd w:val="clear" w:color="auto" w:fill="CCEDFF"/>
          </w:tcPr>
          <w:p>
            <w:pPr>
              <w:spacing w:after="0"/>
              <w:rPr>
                <w:sz w:val="11"/>
                <w:szCs w:val="11"/>
                <w:color w:val="auto"/>
              </w:rPr>
            </w:pPr>
          </w:p>
        </w:tc>
        <w:tc>
          <w:tcPr>
            <w:tcW w:w="1740" w:type="dxa"/>
            <w:vAlign w:val="bottom"/>
            <w:tcBorders>
              <w:bottom w:val="single" w:sz="8" w:color="auto"/>
            </w:tcBorders>
            <w:vMerge w:val="continue"/>
            <w:shd w:val="clear" w:color="auto" w:fill="CCEDFF"/>
          </w:tcPr>
          <w:p>
            <w:pPr>
              <w:spacing w:after="0"/>
              <w:rPr>
                <w:sz w:val="11"/>
                <w:szCs w:val="11"/>
                <w:color w:val="auto"/>
              </w:rPr>
            </w:pPr>
          </w:p>
        </w:tc>
        <w:tc>
          <w:tcPr>
            <w:tcW w:w="120" w:type="dxa"/>
            <w:vAlign w:val="bottom"/>
            <w:tcBorders>
              <w:bottom w:val="single" w:sz="8" w:color="auto"/>
              <w:right w:val="single" w:sz="8" w:color="auto"/>
            </w:tcBorders>
            <w:shd w:val="clear" w:color="auto" w:fill="CCEDFF"/>
          </w:tcPr>
          <w:p>
            <w:pPr>
              <w:spacing w:after="0"/>
              <w:rPr>
                <w:sz w:val="11"/>
                <w:szCs w:val="11"/>
                <w:color w:val="auto"/>
              </w:rPr>
            </w:pPr>
          </w:p>
        </w:tc>
        <w:tc>
          <w:tcPr>
            <w:tcW w:w="380" w:type="dxa"/>
            <w:vAlign w:val="bottom"/>
            <w:tcBorders>
              <w:bottom w:val="single" w:sz="8" w:color="auto"/>
            </w:tcBorders>
            <w:vMerge w:val="continue"/>
            <w:shd w:val="clear" w:color="auto" w:fill="CCEDFF"/>
          </w:tcPr>
          <w:p>
            <w:pPr>
              <w:spacing w:after="0"/>
              <w:rPr>
                <w:sz w:val="11"/>
                <w:szCs w:val="11"/>
                <w:color w:val="auto"/>
              </w:rPr>
            </w:pPr>
          </w:p>
        </w:tc>
        <w:tc>
          <w:tcPr>
            <w:tcW w:w="1440" w:type="dxa"/>
            <w:vAlign w:val="bottom"/>
            <w:tcBorders>
              <w:bottom w:val="single" w:sz="8" w:color="auto"/>
              <w:right w:val="single" w:sz="8" w:color="auto"/>
            </w:tcBorders>
            <w:vMerge w:val="continue"/>
            <w:shd w:val="clear" w:color="auto" w:fill="CCEDFF"/>
          </w:tcPr>
          <w:p>
            <w:pPr>
              <w:spacing w:after="0"/>
              <w:rPr>
                <w:sz w:val="11"/>
                <w:szCs w:val="11"/>
                <w:color w:val="auto"/>
              </w:rPr>
            </w:pPr>
          </w:p>
        </w:tc>
        <w:tc>
          <w:tcPr>
            <w:tcW w:w="160" w:type="dxa"/>
            <w:vAlign w:val="bottom"/>
            <w:tcBorders>
              <w:bottom w:val="single" w:sz="8" w:color="auto"/>
            </w:tcBorders>
            <w:shd w:val="clear" w:color="auto" w:fill="CCEDFF"/>
          </w:tcPr>
          <w:p>
            <w:pPr>
              <w:spacing w:after="0"/>
              <w:rPr>
                <w:sz w:val="11"/>
                <w:szCs w:val="11"/>
                <w:color w:val="auto"/>
              </w:rPr>
            </w:pPr>
          </w:p>
        </w:tc>
        <w:tc>
          <w:tcPr>
            <w:tcW w:w="1580" w:type="dxa"/>
            <w:vAlign w:val="bottom"/>
            <w:tcBorders>
              <w:bottom w:val="single" w:sz="8" w:color="auto"/>
              <w:right w:val="single" w:sz="8" w:color="auto"/>
            </w:tcBorders>
            <w:shd w:val="clear" w:color="auto" w:fill="CCEDFF"/>
          </w:tcPr>
          <w:p>
            <w:pPr>
              <w:spacing w:after="0"/>
              <w:rPr>
                <w:sz w:val="11"/>
                <w:szCs w:val="11"/>
                <w:color w:val="auto"/>
              </w:rPr>
            </w:pPr>
          </w:p>
        </w:tc>
        <w:tc>
          <w:tcPr>
            <w:tcW w:w="340" w:type="dxa"/>
            <w:vAlign w:val="bottom"/>
            <w:tcBorders>
              <w:bottom w:val="single" w:sz="8" w:color="auto"/>
            </w:tcBorders>
            <w:shd w:val="clear" w:color="auto" w:fill="CCEDFF"/>
          </w:tcPr>
          <w:p>
            <w:pPr>
              <w:spacing w:after="0"/>
              <w:rPr>
                <w:sz w:val="11"/>
                <w:szCs w:val="11"/>
                <w:color w:val="auto"/>
              </w:rPr>
            </w:pPr>
          </w:p>
        </w:tc>
        <w:tc>
          <w:tcPr>
            <w:tcW w:w="1500" w:type="dxa"/>
            <w:vAlign w:val="bottom"/>
            <w:tcBorders>
              <w:bottom w:val="single" w:sz="8" w:color="auto"/>
              <w:right w:val="single" w:sz="8" w:color="auto"/>
            </w:tcBorders>
            <w:shd w:val="clear" w:color="auto" w:fill="CCED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-616585</wp:posOffset>
            </wp:positionV>
            <wp:extent cx="606298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62980" cy="163195"/>
                    </a:xfrm>
                    <a:prstGeom prst="rect">
                      <a:avLst/>
                    </a:prstGeom>
                    <a:noFill/>
                  </pic:spPr>
                </pic:pic>
              </a:graphicData>
            </a:graphic>
          </wp:anchor>
        </w:drawing>
      </w:r>
    </w:p>
    <w:p>
      <w:pPr>
        <w:spacing w:after="0" w:line="79" w:lineRule="exact"/>
        <w:rPr>
          <w:sz w:val="20"/>
          <w:szCs w:val="20"/>
          <w:color w:val="auto"/>
        </w:rPr>
      </w:pPr>
    </w:p>
    <w:p>
      <w:pPr>
        <w:ind w:left="347" w:hanging="347"/>
        <w:spacing w:after="0"/>
        <w:tabs>
          <w:tab w:leader="none" w:pos="347"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individual executed each option exercise and resulting sales pursuant to the individual’s Rule 10b5-1 trading plan.</w:t>
      </w:r>
    </w:p>
    <w:p>
      <w:pPr>
        <w:spacing w:after="0" w:line="20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Post-Employment Compensation</w:t>
      </w:r>
    </w:p>
    <w:p>
      <w:pPr>
        <w:spacing w:after="0" w:line="119"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i w:val="1"/>
          <w:iCs w:val="1"/>
          <w:color w:val="auto"/>
        </w:rPr>
        <w:t>Pension Benefits and Nonqualified Deferred Compensation</w:t>
      </w:r>
    </w:p>
    <w:p>
      <w:pPr>
        <w:spacing w:after="0" w:line="119" w:lineRule="exact"/>
        <w:rPr>
          <w:sz w:val="20"/>
          <w:szCs w:val="20"/>
          <w:color w:val="auto"/>
        </w:rPr>
      </w:pPr>
    </w:p>
    <w:p>
      <w:pPr>
        <w:ind w:left="7" w:right="160" w:firstLine="360"/>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We do not provide pension arrangements or post-retirement health coverage for our executives or employees. As of January 2018, Brett Monia, a founder of Ionis, became Chief Operating Officer. At such time, B. Lynne Parshall became a Senior Strategic Advisor to Ionis and she continues to be a member of the Board of Directors of Ionis. Ionis entered into a Strategic Advisory Services Agreement with Ms. Parshall to reflect her new role. Pursuant to such agreement, if in the future Ms. Parshall ends her board of director service for the Company, for 18 months following such date, the Company will pay Ms. Parshall’s COBRA premium payments, or if COBRA is not available, an amount equal to the cost of comparable health insurance coverage. See page </w:t>
      </w:r>
      <w:hyperlink w:anchor="page58">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further information regarding the Strategic Advisory Services Agreement.</w:t>
      </w:r>
    </w:p>
    <w:p>
      <w:pPr>
        <w:spacing w:after="0" w:line="81" w:lineRule="exact"/>
        <w:rPr>
          <w:sz w:val="20"/>
          <w:szCs w:val="20"/>
          <w:color w:val="auto"/>
        </w:rPr>
      </w:pPr>
    </w:p>
    <w:p>
      <w:pPr>
        <w:ind w:left="7" w:right="40" w:firstLine="360"/>
        <w:spacing w:after="0" w:line="281" w:lineRule="auto"/>
        <w:rPr>
          <w:sz w:val="20"/>
          <w:szCs w:val="20"/>
          <w:color w:val="auto"/>
        </w:rPr>
      </w:pPr>
      <w:r>
        <w:rPr>
          <w:rFonts w:ascii="Times New Roman" w:cs="Times New Roman" w:eastAsia="Times New Roman" w:hAnsi="Times New Roman"/>
          <w:sz w:val="17"/>
          <w:szCs w:val="17"/>
          <w:color w:val="auto"/>
        </w:rPr>
        <w:t>Our executive officers are eligible to participate in our 401(k) contributory defined contribution plan. In 2017, we contributed to each participant a matching contribution equal to 50% of the first 6% of the participant’s compensation he or she contributed to the plan. In 2017, the maximum matching contribution was $8,100. The Compensation Committee can also grant discretionary contributions under our 401(k) plan. We do not provide any nonqualified defined contribution or other deferred compensation plans.</w:t>
      </w:r>
    </w:p>
    <w:p>
      <w:pPr>
        <w:spacing w:after="0" w:line="163"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119" w:lineRule="exact"/>
        <w:rPr>
          <w:sz w:val="20"/>
          <w:szCs w:val="20"/>
          <w:color w:val="auto"/>
        </w:rPr>
      </w:pPr>
    </w:p>
    <w:p>
      <w:pPr>
        <w:ind w:left="7" w:right="60" w:firstLine="360"/>
        <w:spacing w:after="0" w:line="282" w:lineRule="auto"/>
        <w:rPr>
          <w:sz w:val="20"/>
          <w:szCs w:val="20"/>
          <w:color w:val="auto"/>
        </w:rPr>
      </w:pPr>
      <w:r>
        <w:rPr>
          <w:rFonts w:ascii="Times New Roman" w:cs="Times New Roman" w:eastAsia="Times New Roman" w:hAnsi="Times New Roman"/>
          <w:sz w:val="18"/>
          <w:szCs w:val="18"/>
          <w:color w:val="auto"/>
        </w:rPr>
        <w:t>All of Ionis’ employees, including our executive officers, are employees-at-will and as such do not have employment contracts with us, except in the case of a severance agreement for our CEO, the details of which are provided below.</w:t>
      </w:r>
    </w:p>
    <w:p>
      <w:pPr>
        <w:spacing w:after="0" w:line="160"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i w:val="1"/>
          <w:iCs w:val="1"/>
          <w:color w:val="auto"/>
        </w:rPr>
        <w:t>Retention and Change of Control Agreements</w:t>
      </w:r>
    </w:p>
    <w:p>
      <w:pPr>
        <w:spacing w:after="0" w:line="119" w:lineRule="exact"/>
        <w:rPr>
          <w:sz w:val="20"/>
          <w:szCs w:val="20"/>
          <w:color w:val="auto"/>
        </w:rPr>
      </w:pPr>
    </w:p>
    <w:p>
      <w:pPr>
        <w:ind w:left="7" w:right="60" w:firstLine="360"/>
        <w:spacing w:after="0" w:line="256" w:lineRule="auto"/>
        <w:rPr>
          <w:sz w:val="20"/>
          <w:szCs w:val="20"/>
          <w:color w:val="auto"/>
        </w:rPr>
      </w:pPr>
      <w:r>
        <w:rPr>
          <w:rFonts w:ascii="Times New Roman" w:cs="Times New Roman" w:eastAsia="Times New Roman" w:hAnsi="Times New Roman"/>
          <w:sz w:val="18"/>
          <w:szCs w:val="18"/>
          <w:color w:val="auto"/>
        </w:rPr>
        <w:t>We have a severance agreement with Stanley T. Crooke, which provides that Dr. Crooke will be eligible to receive a lump sum severance payment equal to 36 months of his then-current base salary in the event his employment is terminated as a result of a change of control of Ionis. This agreement will remain in effect as long as Dr. Crooke continues to be employed by Ionis. In addition, the Compensation Committee has approved that in the event of a change of control, the vesting and exercisability of Dr. Crooke’s then outstanding and unvested stock options and RSUs will be accelerated in full, to the extent permitted by the applicable stock option plan.</w:t>
      </w:r>
    </w:p>
    <w:p>
      <w:pPr>
        <w:spacing w:after="0" w:line="186"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i w:val="1"/>
          <w:iCs w:val="1"/>
          <w:color w:val="auto"/>
        </w:rPr>
        <w:t>Conditions</w:t>
      </w:r>
    </w:p>
    <w:p>
      <w:pPr>
        <w:spacing w:after="0" w:line="119" w:lineRule="exact"/>
        <w:rPr>
          <w:sz w:val="20"/>
          <w:szCs w:val="20"/>
          <w:color w:val="auto"/>
        </w:rPr>
      </w:pPr>
    </w:p>
    <w:p>
      <w:pPr>
        <w:ind w:left="7" w:right="520" w:firstLine="360"/>
        <w:spacing w:after="0" w:line="282" w:lineRule="auto"/>
        <w:rPr>
          <w:sz w:val="20"/>
          <w:szCs w:val="20"/>
          <w:color w:val="auto"/>
        </w:rPr>
      </w:pPr>
      <w:r>
        <w:rPr>
          <w:rFonts w:ascii="Times New Roman" w:cs="Times New Roman" w:eastAsia="Times New Roman" w:hAnsi="Times New Roman"/>
          <w:sz w:val="18"/>
          <w:szCs w:val="18"/>
          <w:color w:val="auto"/>
        </w:rPr>
        <w:t>As a condition to receiving payment under the retention and change of control agreement described above, Dr. Crooke is required to return all of our property and information and sign an agreement releasing Ionis from liability.</w:t>
      </w:r>
    </w:p>
    <w:p>
      <w:pPr>
        <w:spacing w:after="0" w:line="1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Change-of-Control</w:t>
      </w:r>
    </w:p>
    <w:p>
      <w:pPr>
        <w:spacing w:after="0" w:line="121" w:lineRule="exact"/>
        <w:rPr>
          <w:sz w:val="20"/>
          <w:szCs w:val="20"/>
          <w:color w:val="auto"/>
        </w:rPr>
      </w:pPr>
    </w:p>
    <w:p>
      <w:pPr>
        <w:ind w:right="140" w:firstLine="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table estimates the lump sum payments that would be required under the agreement described above as of December 31, 2017. This table estimates the lump sum payments based upon either a termination without cause or a termination in connection with a change of control, assuming either occurred on December 31, 2017. The estimates in this table are forward-looking statements. Please see the special note regarding forward-looking statements on page </w:t>
      </w:r>
      <w:hyperlink w:anchor="page63">
        <w:r>
          <w:rPr>
            <w:rFonts w:ascii="Times New Roman" w:cs="Times New Roman" w:eastAsia="Times New Roman" w:hAnsi="Times New Roman"/>
            <w:sz w:val="18"/>
            <w:szCs w:val="18"/>
            <w:u w:val="single" w:color="auto"/>
            <w:color w:val="0000EE"/>
          </w:rPr>
          <w:t>60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this Proxy Statement.</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560" w:type="dxa"/>
            <w:vAlign w:val="bottom"/>
            <w:tcBorders>
              <w:top w:val="single" w:sz="8" w:color="auto"/>
              <w:left w:val="single" w:sz="8" w:color="auto"/>
              <w:right w:val="single" w:sz="8" w:color="auto"/>
            </w:tcBorders>
          </w:tcPr>
          <w:p>
            <w:pPr>
              <w:spacing w:after="0"/>
              <w:rPr>
                <w:sz w:val="17"/>
                <w:szCs w:val="17"/>
                <w:color w:val="auto"/>
              </w:rPr>
            </w:pPr>
          </w:p>
        </w:tc>
        <w:tc>
          <w:tcPr>
            <w:tcW w:w="18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Termination Event</w:t>
            </w:r>
          </w:p>
        </w:tc>
        <w:tc>
          <w:tcPr>
            <w:tcW w:w="1880" w:type="dxa"/>
            <w:vAlign w:val="bottom"/>
            <w:tcBorders>
              <w:top w:val="single" w:sz="8" w:color="auto"/>
              <w:bottom w:val="single" w:sz="8" w:color="auto"/>
              <w:right w:val="single" w:sz="8" w:color="auto"/>
            </w:tcBorders>
          </w:tcPr>
          <w:p>
            <w:pPr>
              <w:spacing w:after="0"/>
              <w:rPr>
                <w:sz w:val="17"/>
                <w:szCs w:val="17"/>
                <w:color w:val="auto"/>
              </w:rPr>
            </w:pPr>
          </w:p>
        </w:tc>
      </w:tr>
      <w:tr>
        <w:trPr>
          <w:trHeight w:val="158"/>
        </w:trPr>
        <w:tc>
          <w:tcPr>
            <w:tcW w:w="4560" w:type="dxa"/>
            <w:vAlign w:val="bottom"/>
            <w:tcBorders>
              <w:left w:val="single" w:sz="8" w:color="auto"/>
              <w:right w:val="single" w:sz="8" w:color="auto"/>
            </w:tcBorders>
          </w:tcPr>
          <w:p>
            <w:pPr>
              <w:spacing w:after="0"/>
              <w:rPr>
                <w:sz w:val="13"/>
                <w:szCs w:val="13"/>
                <w:color w:val="auto"/>
              </w:rPr>
            </w:pPr>
          </w:p>
        </w:tc>
        <w:tc>
          <w:tcPr>
            <w:tcW w:w="1800" w:type="dxa"/>
            <w:vAlign w:val="bottom"/>
          </w:tcPr>
          <w:p>
            <w:pPr>
              <w:jc w:val="center"/>
              <w:ind w:left="568"/>
              <w:spacing w:after="0" w:line="158"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70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880" w:type="dxa"/>
            <w:vAlign w:val="bottom"/>
            <w:tcBorders>
              <w:right w:val="single" w:sz="8" w:color="auto"/>
            </w:tcBorders>
          </w:tcPr>
          <w:p>
            <w:pPr>
              <w:jc w:val="center"/>
              <w:ind w:right="582"/>
              <w:spacing w:after="0" w:line="158" w:lineRule="exact"/>
              <w:rPr>
                <w:sz w:val="20"/>
                <w:szCs w:val="20"/>
                <w:color w:val="auto"/>
              </w:rPr>
            </w:pPr>
            <w:r>
              <w:rPr>
                <w:rFonts w:ascii="Times New Roman" w:cs="Times New Roman" w:eastAsia="Times New Roman" w:hAnsi="Times New Roman"/>
                <w:sz w:val="14"/>
                <w:szCs w:val="14"/>
                <w:b w:val="1"/>
                <w:bCs w:val="1"/>
                <w:color w:val="auto"/>
              </w:rPr>
              <w:t>Termination in a</w:t>
            </w:r>
          </w:p>
        </w:tc>
      </w:tr>
      <w:tr>
        <w:trPr>
          <w:trHeight w:val="187"/>
        </w:trPr>
        <w:tc>
          <w:tcPr>
            <w:tcW w:w="4560" w:type="dxa"/>
            <w:vAlign w:val="bottom"/>
            <w:tcBorders>
              <w:left w:val="single" w:sz="8" w:color="auto"/>
              <w:bottom w:val="single" w:sz="8" w:color="auto"/>
              <w:right w:val="single" w:sz="8" w:color="auto"/>
            </w:tcBorders>
          </w:tcPr>
          <w:p>
            <w:pPr>
              <w:ind w:left="2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0" w:type="dxa"/>
            <w:vAlign w:val="bottom"/>
            <w:tcBorders>
              <w:bottom w:val="single" w:sz="8" w:color="auto"/>
            </w:tcBorders>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Without Cause</w:t>
            </w:r>
          </w:p>
        </w:tc>
        <w:tc>
          <w:tcPr>
            <w:tcW w:w="70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jc w:val="center"/>
              <w:ind w:right="582"/>
              <w:spacing w:after="0"/>
              <w:rPr>
                <w:sz w:val="20"/>
                <w:szCs w:val="20"/>
                <w:color w:val="auto"/>
              </w:rPr>
            </w:pPr>
            <w:r>
              <w:rPr>
                <w:rFonts w:ascii="Times New Roman" w:cs="Times New Roman" w:eastAsia="Times New Roman" w:hAnsi="Times New Roman"/>
                <w:sz w:val="14"/>
                <w:szCs w:val="14"/>
                <w:b w:val="1"/>
                <w:bCs w:val="1"/>
                <w:color w:val="auto"/>
              </w:rPr>
              <w:t>Change of Control</w:t>
            </w:r>
          </w:p>
        </w:tc>
      </w:tr>
      <w:tr>
        <w:trPr>
          <w:trHeight w:val="232"/>
        </w:trPr>
        <w:tc>
          <w:tcPr>
            <w:tcW w:w="45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Stanley T. Crooke</w:t>
            </w:r>
          </w:p>
        </w:tc>
        <w:tc>
          <w:tcPr>
            <w:tcW w:w="18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2,547,813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540" w:firstLine="360"/>
        <w:spacing w:after="0" w:line="282" w:lineRule="auto"/>
        <w:rPr>
          <w:sz w:val="20"/>
          <w:szCs w:val="20"/>
          <w:color w:val="auto"/>
        </w:rPr>
      </w:pPr>
      <w:r>
        <w:rPr>
          <w:rFonts w:ascii="Times New Roman" w:cs="Times New Roman" w:eastAsia="Times New Roman" w:hAnsi="Times New Roman"/>
          <w:sz w:val="18"/>
          <w:szCs w:val="18"/>
          <w:color w:val="auto"/>
        </w:rPr>
        <w:t>For the fiscal year ending December 31, 2017, we paid our non-employee Directors a base cash retainer of $55,000 with additional role-based compensation as noted below:</w:t>
      </w:r>
    </w:p>
    <w:tbl>
      <w:tblPr>
        <w:tblLayout w:type="fixed"/>
        <w:tblInd w:w="10" w:type="dxa"/>
        <w:tblCellMar>
          <w:top w:w="0" w:type="dxa"/>
          <w:left w:w="0" w:type="dxa"/>
          <w:bottom w:w="0" w:type="dxa"/>
          <w:right w:w="0" w:type="dxa"/>
        </w:tblCellMar>
      </w:tblPr>
      <w:tr>
        <w:trPr>
          <w:trHeight w:val="176"/>
        </w:trPr>
        <w:tc>
          <w:tcPr>
            <w:tcW w:w="5100" w:type="dxa"/>
            <w:vAlign w:val="bottom"/>
            <w:tcBorders>
              <w:top w:val="single" w:sz="8" w:color="auto"/>
              <w:left w:val="single" w:sz="8" w:color="auto"/>
            </w:tcBorders>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c>
          <w:tcPr>
            <w:tcW w:w="2340" w:type="dxa"/>
            <w:vAlign w:val="bottom"/>
            <w:tcBorders>
              <w:top w:val="single" w:sz="8" w:color="auto"/>
              <w:right w:val="single" w:sz="8" w:color="auto"/>
            </w:tcBorders>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2017 Cash</w:t>
            </w:r>
          </w:p>
        </w:tc>
      </w:tr>
      <w:tr>
        <w:trPr>
          <w:trHeight w:val="187"/>
        </w:trPr>
        <w:tc>
          <w:tcPr>
            <w:tcW w:w="5100" w:type="dxa"/>
            <w:vAlign w:val="bottom"/>
            <w:tcBorders>
              <w:left w:val="single" w:sz="8" w:color="auto"/>
              <w:bottom w:val="single" w:sz="8" w:color="auto"/>
            </w:tcBorders>
          </w:tcPr>
          <w:p>
            <w:pPr>
              <w:ind w:left="3180"/>
              <w:spacing w:after="0"/>
              <w:rPr>
                <w:sz w:val="20"/>
                <w:szCs w:val="20"/>
                <w:color w:val="auto"/>
              </w:rPr>
            </w:pPr>
            <w:r>
              <w:rPr>
                <w:rFonts w:ascii="Times New Roman" w:cs="Times New Roman" w:eastAsia="Times New Roman" w:hAnsi="Times New Roman"/>
                <w:sz w:val="14"/>
                <w:szCs w:val="14"/>
                <w:b w:val="1"/>
                <w:bCs w:val="1"/>
                <w:color w:val="auto"/>
              </w:rPr>
              <w:t>Role</w:t>
            </w:r>
          </w:p>
        </w:tc>
        <w:tc>
          <w:tcPr>
            <w:tcW w:w="2120" w:type="dxa"/>
            <w:vAlign w:val="bottom"/>
            <w:tcBorders>
              <w:bottom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237"/>
        </w:trPr>
        <w:tc>
          <w:tcPr>
            <w:tcW w:w="5100" w:type="dxa"/>
            <w:vAlign w:val="bottom"/>
            <w:tcBorders>
              <w:lef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Board Member (Base)</w:t>
            </w:r>
          </w:p>
        </w:tc>
        <w:tc>
          <w:tcPr>
            <w:tcW w:w="2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55,000</w:t>
            </w:r>
          </w:p>
        </w:tc>
      </w:tr>
      <w:tr>
        <w:trPr>
          <w:trHeight w:val="239"/>
        </w:trPr>
        <w:tc>
          <w:tcPr>
            <w:tcW w:w="51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Committee Chairs (Additional)</w:t>
            </w:r>
          </w:p>
        </w:tc>
        <w:tc>
          <w:tcPr>
            <w:tcW w:w="2120" w:type="dxa"/>
            <w:vAlign w:val="bottom"/>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r>
      <w:tr>
        <w:trPr>
          <w:trHeight w:val="247"/>
        </w:trPr>
        <w:tc>
          <w:tcPr>
            <w:tcW w:w="5100" w:type="dxa"/>
            <w:vAlign w:val="bottom"/>
            <w:tcBorders>
              <w:lef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Audit</w:t>
            </w:r>
          </w:p>
        </w:tc>
        <w:tc>
          <w:tcPr>
            <w:tcW w:w="2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24,000</w:t>
            </w:r>
          </w:p>
        </w:tc>
      </w:tr>
      <w:tr>
        <w:trPr>
          <w:trHeight w:val="239"/>
        </w:trPr>
        <w:tc>
          <w:tcPr>
            <w:tcW w:w="51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2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20,000</w:t>
            </w:r>
          </w:p>
        </w:tc>
      </w:tr>
      <w:tr>
        <w:trPr>
          <w:trHeight w:val="247"/>
        </w:trPr>
        <w:tc>
          <w:tcPr>
            <w:tcW w:w="5100" w:type="dxa"/>
            <w:vAlign w:val="bottom"/>
            <w:tcBorders>
              <w:lef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Nominating, Governance and Review</w:t>
            </w:r>
          </w:p>
        </w:tc>
        <w:tc>
          <w:tcPr>
            <w:tcW w:w="2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10,000</w:t>
            </w:r>
          </w:p>
        </w:tc>
      </w:tr>
      <w:tr>
        <w:trPr>
          <w:trHeight w:val="239"/>
        </w:trPr>
        <w:tc>
          <w:tcPr>
            <w:tcW w:w="51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Agenda</w:t>
            </w:r>
          </w:p>
        </w:tc>
        <w:tc>
          <w:tcPr>
            <w:tcW w:w="2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10,000</w:t>
            </w:r>
          </w:p>
        </w:tc>
      </w:tr>
      <w:tr>
        <w:trPr>
          <w:trHeight w:val="241"/>
        </w:trPr>
        <w:tc>
          <w:tcPr>
            <w:tcW w:w="5100" w:type="dxa"/>
            <w:vAlign w:val="bottom"/>
            <w:tcBorders>
              <w:lef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Committee Member (Additional)</w:t>
            </w:r>
          </w:p>
        </w:tc>
        <w:tc>
          <w:tcPr>
            <w:tcW w:w="2120" w:type="dxa"/>
            <w:vAlign w:val="bottom"/>
            <w:shd w:val="clear" w:color="auto" w:fill="CCEEFF"/>
          </w:tcPr>
          <w:p>
            <w:pPr>
              <w:spacing w:after="0"/>
              <w:rPr>
                <w:sz w:val="20"/>
                <w:szCs w:val="20"/>
                <w:color w:val="auto"/>
              </w:rPr>
            </w:pPr>
          </w:p>
        </w:tc>
        <w:tc>
          <w:tcPr>
            <w:tcW w:w="2340" w:type="dxa"/>
            <w:vAlign w:val="bottom"/>
            <w:tcBorders>
              <w:right w:val="single" w:sz="8" w:color="auto"/>
            </w:tcBorders>
            <w:shd w:val="clear" w:color="auto" w:fill="CCEEFF"/>
          </w:tcPr>
          <w:p>
            <w:pPr>
              <w:spacing w:after="0"/>
              <w:rPr>
                <w:sz w:val="20"/>
                <w:szCs w:val="20"/>
                <w:color w:val="auto"/>
              </w:rPr>
            </w:pPr>
          </w:p>
        </w:tc>
      </w:tr>
      <w:tr>
        <w:trPr>
          <w:trHeight w:val="239"/>
        </w:trPr>
        <w:tc>
          <w:tcPr>
            <w:tcW w:w="51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Audit</w:t>
            </w:r>
          </w:p>
        </w:tc>
        <w:tc>
          <w:tcPr>
            <w:tcW w:w="2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12,000</w:t>
            </w:r>
          </w:p>
        </w:tc>
      </w:tr>
      <w:tr>
        <w:trPr>
          <w:trHeight w:val="247"/>
        </w:trPr>
        <w:tc>
          <w:tcPr>
            <w:tcW w:w="5100" w:type="dxa"/>
            <w:vAlign w:val="bottom"/>
            <w:tcBorders>
              <w:lef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2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10,000</w:t>
            </w:r>
          </w:p>
        </w:tc>
      </w:tr>
      <w:tr>
        <w:trPr>
          <w:trHeight w:val="239"/>
        </w:trPr>
        <w:tc>
          <w:tcPr>
            <w:tcW w:w="51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Nominating, Governance and Review</w:t>
            </w:r>
          </w:p>
        </w:tc>
        <w:tc>
          <w:tcPr>
            <w:tcW w:w="2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5,000</w:t>
            </w:r>
          </w:p>
        </w:tc>
      </w:tr>
      <w:tr>
        <w:trPr>
          <w:trHeight w:val="247"/>
        </w:trPr>
        <w:tc>
          <w:tcPr>
            <w:tcW w:w="5100" w:type="dxa"/>
            <w:vAlign w:val="bottom"/>
            <w:tcBorders>
              <w:lef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Agenda</w:t>
            </w:r>
          </w:p>
        </w:tc>
        <w:tc>
          <w:tcPr>
            <w:tcW w:w="21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5,000</w:t>
            </w:r>
          </w:p>
        </w:tc>
      </w:tr>
      <w:tr>
        <w:trPr>
          <w:trHeight w:val="239"/>
        </w:trPr>
        <w:tc>
          <w:tcPr>
            <w:tcW w:w="51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Scientific/Medical</w:t>
            </w:r>
          </w:p>
        </w:tc>
        <w:tc>
          <w:tcPr>
            <w:tcW w:w="2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90" w:lineRule="exact"/>
        <w:rPr>
          <w:sz w:val="20"/>
          <w:szCs w:val="20"/>
          <w:color w:val="auto"/>
        </w:rPr>
      </w:pPr>
    </w:p>
    <w:p>
      <w:pPr>
        <w:ind w:right="220" w:firstLine="360"/>
        <w:spacing w:after="0" w:line="266" w:lineRule="auto"/>
        <w:rPr>
          <w:sz w:val="20"/>
          <w:szCs w:val="20"/>
          <w:color w:val="auto"/>
        </w:rPr>
      </w:pPr>
      <w:r>
        <w:rPr>
          <w:rFonts w:ascii="Times New Roman" w:cs="Times New Roman" w:eastAsia="Times New Roman" w:hAnsi="Times New Roman"/>
          <w:sz w:val="18"/>
          <w:szCs w:val="18"/>
          <w:color w:val="auto"/>
        </w:rPr>
        <w:t>If the Board creates new committees, we anticipate that the non-employee members of such new committees will receive additional compensation for their role on those committees. We do not pay Board members additional compensation for attending Board meetings, but we do reimburse them for the expenses they incur to attend the meetings.</w:t>
      </w:r>
    </w:p>
    <w:p>
      <w:pPr>
        <w:spacing w:after="0" w:line="68"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In 2017, each non-employee Director also received automatic stock award grants under our Directors’ Plan. On July 3, 2017, under the Directors’ Plan, each of our non-employee Directors serving at that time received an option to purchase 16,000 shares of our common stock, at an exercise price of $52.22 per share, the fair market value of the common stock on the date of the grant, based on the closing sales price reported on the Nasdaq Global Select Market, and an RSU award for 2,667 shares. The options and RSUs vest over a four-year period in equal annual installments.</w:t>
      </w:r>
    </w:p>
    <w:p>
      <w:pPr>
        <w:spacing w:after="0" w:line="76"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pay levels for non-employee Directors periodically with assistance from Marsh &amp; McLennan Agency, who prepares a comprehensive assessment of Ionis’ non-employee Director compensation program. That assessment includes benchmarking of director compensation against the same peer group used for executive compensation purposes, an update on recent trends in director compensation, and a review of related corporate governance best practices.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54" w:name="page55"/>
    <w:bookmarkEnd w:id="54"/>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7"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2017 certain information with respect to the compensation of all our non-employee Directors:</w:t>
      </w: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Director Compensation for Fiscal 2017</w:t>
      </w:r>
    </w:p>
    <w:p>
      <w:pPr>
        <w:spacing w:after="0" w:line="65" w:lineRule="exact"/>
        <w:rPr>
          <w:sz w:val="20"/>
          <w:szCs w:val="20"/>
          <w:color w:val="auto"/>
        </w:rPr>
      </w:pPr>
    </w:p>
    <w:tbl>
      <w:tblPr>
        <w:tblLayout w:type="fixed"/>
        <w:tblInd w:w="17" w:type="dxa"/>
        <w:tblCellMar>
          <w:top w:w="0" w:type="dxa"/>
          <w:left w:w="0" w:type="dxa"/>
          <w:bottom w:w="0" w:type="dxa"/>
          <w:right w:w="0" w:type="dxa"/>
        </w:tblCellMar>
      </w:tblPr>
      <w:tr>
        <w:trPr>
          <w:trHeight w:val="178"/>
        </w:trPr>
        <w:tc>
          <w:tcPr>
            <w:tcW w:w="1440" w:type="dxa"/>
            <w:vAlign w:val="bottom"/>
            <w:tcBorders>
              <w:top w:val="single" w:sz="8" w:color="auto"/>
              <w:left w:val="single" w:sz="8" w:color="auto"/>
            </w:tcBorders>
          </w:tcPr>
          <w:p>
            <w:pPr>
              <w:spacing w:after="0"/>
              <w:rPr>
                <w:sz w:val="15"/>
                <w:szCs w:val="15"/>
                <w:color w:val="auto"/>
              </w:rPr>
            </w:pPr>
          </w:p>
        </w:tc>
        <w:tc>
          <w:tcPr>
            <w:tcW w:w="1060" w:type="dxa"/>
            <w:vAlign w:val="bottom"/>
            <w:tcBorders>
              <w:top w:val="single" w:sz="8" w:color="auto"/>
              <w:right w:val="single" w:sz="8" w:color="auto"/>
            </w:tcBorders>
          </w:tcPr>
          <w:p>
            <w:pPr>
              <w:spacing w:after="0"/>
              <w:rPr>
                <w:sz w:val="15"/>
                <w:szCs w:val="15"/>
                <w:color w:val="auto"/>
              </w:rPr>
            </w:pPr>
          </w:p>
        </w:tc>
        <w:tc>
          <w:tcPr>
            <w:tcW w:w="14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Cash Compensation</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right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r>
      <w:tr>
        <w:trPr>
          <w:trHeight w:val="146"/>
        </w:trPr>
        <w:tc>
          <w:tcPr>
            <w:tcW w:w="144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right w:val="single" w:sz="8" w:color="auto"/>
            </w:tcBorders>
          </w:tcPr>
          <w:p>
            <w:pPr>
              <w:jc w:val="right"/>
              <w:ind w:right="174"/>
              <w:spacing w:after="0" w:line="147" w:lineRule="exact"/>
              <w:rPr>
                <w:sz w:val="20"/>
                <w:szCs w:val="20"/>
                <w:color w:val="auto"/>
              </w:rPr>
            </w:pPr>
            <w:r>
              <w:rPr>
                <w:rFonts w:ascii="Times New Roman" w:cs="Times New Roman" w:eastAsia="Times New Roman" w:hAnsi="Times New Roman"/>
                <w:sz w:val="14"/>
                <w:szCs w:val="14"/>
                <w:b w:val="1"/>
                <w:bCs w:val="1"/>
                <w:color w:val="auto"/>
              </w:rPr>
              <w:t>Earned or Paid</w:t>
            </w:r>
          </w:p>
        </w:tc>
        <w:tc>
          <w:tcPr>
            <w:tcW w:w="220" w:type="dxa"/>
            <w:vAlign w:val="bottom"/>
          </w:tcPr>
          <w:p>
            <w:pPr>
              <w:spacing w:after="0"/>
              <w:rPr>
                <w:sz w:val="12"/>
                <w:szCs w:val="12"/>
                <w:color w:val="auto"/>
              </w:rPr>
            </w:pPr>
          </w:p>
        </w:tc>
        <w:tc>
          <w:tcPr>
            <w:tcW w:w="1200" w:type="dxa"/>
            <w:vAlign w:val="bottom"/>
            <w:tcBorders>
              <w:right w:val="single" w:sz="8" w:color="auto"/>
            </w:tcBorders>
          </w:tcPr>
          <w:p>
            <w:pPr>
              <w:jc w:val="right"/>
              <w:ind w:right="475"/>
              <w:spacing w:after="0" w:line="147" w:lineRule="exact"/>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2"/>
                <w:szCs w:val="12"/>
                <w:color w:val="auto"/>
              </w:rPr>
            </w:pPr>
          </w:p>
        </w:tc>
        <w:tc>
          <w:tcPr>
            <w:tcW w:w="1120" w:type="dxa"/>
            <w:vAlign w:val="bottom"/>
            <w:tcBorders>
              <w:right w:val="single" w:sz="8" w:color="auto"/>
            </w:tcBorders>
          </w:tcPr>
          <w:p>
            <w:pPr>
              <w:jc w:val="center"/>
              <w:ind w:right="276"/>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20" w:type="dxa"/>
            <w:vAlign w:val="bottom"/>
          </w:tcPr>
          <w:p>
            <w:pPr>
              <w:spacing w:after="0"/>
              <w:rPr>
                <w:sz w:val="12"/>
                <w:szCs w:val="12"/>
                <w:color w:val="auto"/>
              </w:rPr>
            </w:pPr>
          </w:p>
        </w:tc>
        <w:tc>
          <w:tcPr>
            <w:tcW w:w="1040" w:type="dxa"/>
            <w:vAlign w:val="bottom"/>
            <w:tcBorders>
              <w:right w:val="single" w:sz="8" w:color="auto"/>
            </w:tcBorders>
          </w:tcPr>
          <w:p>
            <w:pPr>
              <w:jc w:val="right"/>
              <w:ind w:right="454"/>
              <w:spacing w:after="0" w:line="147"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2500" w:type="dxa"/>
            <w:vAlign w:val="bottom"/>
            <w:tcBorders>
              <w:left w:val="single" w:sz="8" w:color="auto"/>
              <w:bottom w:val="single" w:sz="8" w:color="auto"/>
              <w:right w:val="single" w:sz="8" w:color="auto"/>
            </w:tcBorders>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right"/>
              <w:ind w:right="255"/>
              <w:spacing w:after="0" w:line="20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23"/>
                <w:szCs w:val="23"/>
                <w:b w:val="1"/>
                <w:bCs w:val="1"/>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center"/>
              <w:ind w:right="276"/>
              <w:spacing w:after="0" w:line="202"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50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Spencer R. Berthelsen</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139,271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497,670</w:t>
            </w:r>
          </w:p>
        </w:tc>
        <w:tc>
          <w:tcPr>
            <w:tcW w:w="1420" w:type="dxa"/>
            <w:vAlign w:val="bottom"/>
            <w:tcBorders>
              <w:right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731,941</w:t>
            </w:r>
          </w:p>
        </w:tc>
      </w:tr>
      <w:tr>
        <w:trPr>
          <w:trHeight w:val="239"/>
        </w:trPr>
        <w:tc>
          <w:tcPr>
            <w:tcW w:w="25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Breaux B. Castleman</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67,000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139,271</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497,670</w:t>
            </w:r>
          </w:p>
        </w:tc>
        <w:tc>
          <w:tcPr>
            <w:tcW w:w="142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703,941</w:t>
            </w:r>
          </w:p>
        </w:tc>
      </w:tr>
      <w:tr>
        <w:trPr>
          <w:trHeight w:val="247"/>
        </w:trPr>
        <w:tc>
          <w:tcPr>
            <w:tcW w:w="250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Joseph Klein, III</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139,271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497,670</w:t>
            </w:r>
          </w:p>
        </w:tc>
        <w:tc>
          <w:tcPr>
            <w:tcW w:w="1420" w:type="dxa"/>
            <w:vAlign w:val="bottom"/>
            <w:tcBorders>
              <w:right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703,941</w:t>
            </w:r>
          </w:p>
        </w:tc>
      </w:tr>
      <w:tr>
        <w:trPr>
          <w:trHeight w:val="239"/>
        </w:trPr>
        <w:tc>
          <w:tcPr>
            <w:tcW w:w="25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Joseph Loscalzo</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139,271</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497,670</w:t>
            </w:r>
          </w:p>
        </w:tc>
        <w:tc>
          <w:tcPr>
            <w:tcW w:w="142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711,941</w:t>
            </w:r>
          </w:p>
        </w:tc>
      </w:tr>
      <w:tr>
        <w:trPr>
          <w:trHeight w:val="247"/>
        </w:trPr>
        <w:tc>
          <w:tcPr>
            <w:tcW w:w="250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Frederick T. Muto</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139,271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497,670</w:t>
            </w:r>
          </w:p>
        </w:tc>
        <w:tc>
          <w:tcPr>
            <w:tcW w:w="1420" w:type="dxa"/>
            <w:vAlign w:val="bottom"/>
            <w:tcBorders>
              <w:right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696,941</w:t>
            </w:r>
          </w:p>
        </w:tc>
      </w:tr>
      <w:tr>
        <w:trPr>
          <w:trHeight w:val="239"/>
        </w:trPr>
        <w:tc>
          <w:tcPr>
            <w:tcW w:w="25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Joseph H. Wender</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94,000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139,271</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497,670</w:t>
            </w:r>
          </w:p>
        </w:tc>
        <w:tc>
          <w:tcPr>
            <w:tcW w:w="142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730,941</w:t>
            </w:r>
          </w:p>
        </w:tc>
      </w:tr>
      <w:tr>
        <w:trPr>
          <w:trHeight w:val="187"/>
        </w:trPr>
        <w:tc>
          <w:tcPr>
            <w:tcW w:w="1440" w:type="dxa"/>
            <w:vAlign w:val="bottom"/>
            <w:tcBorders>
              <w:bottom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99" w:lineRule="exact"/>
        <w:rPr>
          <w:sz w:val="20"/>
          <w:szCs w:val="20"/>
          <w:color w:val="auto"/>
        </w:rPr>
      </w:pPr>
    </w:p>
    <w:p>
      <w:pPr>
        <w:ind w:left="347" w:right="120" w:hanging="347"/>
        <w:spacing w:after="0" w:line="251" w:lineRule="auto"/>
        <w:tabs>
          <w:tab w:leader="none" w:pos="347"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represent the aggregate expense recognized for financial statement reporting purposes in accordance with ASC 718 for stock and option awards granted to the Directors. ASC 718 expense for the option awards is based on the fair value of the awards on the date of grant using an option-pricing model. The fair value of RSUs is based on the market price of our common stock on the date of grant. For more information, please see Note 4, </w:t>
      </w:r>
      <w:r>
        <w:rPr>
          <w:rFonts w:ascii="Times New Roman" w:cs="Times New Roman" w:eastAsia="Times New Roman" w:hAnsi="Times New Roman"/>
          <w:sz w:val="14"/>
          <w:szCs w:val="14"/>
          <w:i w:val="1"/>
          <w:iCs w:val="1"/>
          <w:color w:val="auto"/>
        </w:rPr>
        <w:t>Stockholders’ Equity,</w:t>
      </w:r>
      <w:r>
        <w:rPr>
          <w:rFonts w:ascii="Times New Roman" w:cs="Times New Roman" w:eastAsia="Times New Roman" w:hAnsi="Times New Roman"/>
          <w:sz w:val="14"/>
          <w:szCs w:val="14"/>
          <w:color w:val="auto"/>
        </w:rPr>
        <w:t xml:space="preserve"> of the consolidated financial statements in our Annual Report on Form 10-K for the year ended December 31, 2017 regarding assumptions underlying valuation of equity awards.</w:t>
      </w:r>
    </w:p>
    <w:p>
      <w:pPr>
        <w:spacing w:after="0" w:line="1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 Directors</w:t>
      </w:r>
    </w:p>
    <w:p>
      <w:pPr>
        <w:spacing w:after="0" w:line="121" w:lineRule="exact"/>
        <w:rPr>
          <w:sz w:val="20"/>
          <w:szCs w:val="20"/>
          <w:color w:val="auto"/>
        </w:rPr>
      </w:pPr>
    </w:p>
    <w:p>
      <w:pPr>
        <w:ind w:right="2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2017, certain information regarding outstanding awards at fiscal year-end of all our non-employee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2017</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66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560" w:type="dxa"/>
            <w:vAlign w:val="bottom"/>
            <w:tcBorders>
              <w:top w:val="single" w:sz="8" w:color="auto"/>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right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280" w:type="dxa"/>
            <w:vAlign w:val="bottom"/>
            <w:tcBorders>
              <w:top w:val="single" w:sz="8" w:color="auto"/>
              <w:bottom w:val="single" w:sz="8" w:color="auto"/>
              <w:right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58"/>
        </w:trPr>
        <w:tc>
          <w:tcPr>
            <w:tcW w:w="1660" w:type="dxa"/>
            <w:vAlign w:val="bottom"/>
            <w:tcBorders>
              <w:left w:val="single" w:sz="8" w:color="auto"/>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right w:val="single" w:sz="8" w:color="auto"/>
            </w:tcBorders>
          </w:tcPr>
          <w:p>
            <w:pPr>
              <w:jc w:val="center"/>
              <w:ind w:right="142"/>
              <w:spacing w:after="0" w:line="158"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right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right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right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right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6"/>
        </w:trPr>
        <w:tc>
          <w:tcPr>
            <w:tcW w:w="166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3"/>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34"/>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1040" w:type="dxa"/>
            <w:vAlign w:val="bottom"/>
          </w:tcPr>
          <w:p>
            <w:pPr>
              <w:jc w:val="center"/>
              <w:ind w:right="21"/>
              <w:spacing w:after="0" w:line="147"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tcPr>
          <w:p>
            <w:pPr>
              <w:jc w:val="center"/>
              <w:ind w:right="142"/>
              <w:spacing w:after="0" w:line="147"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60" w:type="dxa"/>
            <w:vAlign w:val="bottom"/>
          </w:tcPr>
          <w:p>
            <w:pPr>
              <w:spacing w:after="0"/>
              <w:rPr>
                <w:sz w:val="14"/>
                <w:szCs w:val="14"/>
                <w:color w:val="auto"/>
              </w:rPr>
            </w:pPr>
          </w:p>
        </w:tc>
        <w:tc>
          <w:tcPr>
            <w:tcW w:w="10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that Have Not</w:t>
            </w:r>
          </w:p>
        </w:tc>
        <w:tc>
          <w:tcPr>
            <w:tcW w:w="1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right w:val="single" w:sz="8" w:color="auto"/>
            </w:tcBorders>
          </w:tcPr>
          <w:p>
            <w:pPr>
              <w:jc w:val="center"/>
              <w:ind w:right="142"/>
              <w:spacing w:after="0" w:line="162" w:lineRule="exact"/>
              <w:rPr>
                <w:sz w:val="20"/>
                <w:szCs w:val="20"/>
                <w:color w:val="auto"/>
              </w:rPr>
            </w:pPr>
            <w:r>
              <w:rPr>
                <w:rFonts w:ascii="Times New Roman" w:cs="Times New Roman" w:eastAsia="Times New Roman" w:hAnsi="Times New Roman"/>
                <w:sz w:val="11"/>
                <w:szCs w:val="11"/>
                <w:b w:val="1"/>
                <w:bCs w:val="1"/>
                <w:color w:val="auto"/>
              </w:rPr>
              <w:t>Vested</w:t>
            </w:r>
            <w:r>
              <w:rPr>
                <w:rFonts w:ascii="Times New Roman" w:cs="Times New Roman" w:eastAsia="Times New Roman" w:hAnsi="Times New Roman"/>
                <w:sz w:val="18"/>
                <w:szCs w:val="18"/>
                <w:b w:val="1"/>
                <w:bCs w:val="1"/>
                <w:color w:val="auto"/>
                <w:vertAlign w:val="superscript"/>
              </w:rPr>
              <w:t>(4)</w:t>
            </w: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3"/>
              <w:spacing w:after="0" w:line="202" w:lineRule="exact"/>
              <w:rPr>
                <w:sz w:val="20"/>
                <w:szCs w:val="20"/>
                <w:color w:val="auto"/>
              </w:rPr>
            </w:pPr>
            <w:r>
              <w:rPr>
                <w:rFonts w:ascii="Times New Roman" w:cs="Times New Roman" w:eastAsia="Times New Roman" w:hAnsi="Times New Roman"/>
                <w:sz w:val="14"/>
                <w:szCs w:val="14"/>
                <w:b w:val="1"/>
                <w:bCs w:val="1"/>
                <w:color w:val="auto"/>
                <w:w w:val="96"/>
              </w:rPr>
              <w:t>Exercisable</w:t>
            </w:r>
            <w:r>
              <w:rPr>
                <w:rFonts w:ascii="Times New Roman" w:cs="Times New Roman" w:eastAsia="Times New Roman" w:hAnsi="Times New Roman"/>
                <w:sz w:val="23"/>
                <w:szCs w:val="23"/>
                <w:b w:val="1"/>
                <w:bCs w:val="1"/>
                <w:color w:val="auto"/>
                <w:w w:val="96"/>
                <w:vertAlign w:val="superscript"/>
              </w:rPr>
              <w:t>(1)</w:t>
            </w:r>
          </w:p>
        </w:tc>
        <w:tc>
          <w:tcPr>
            <w:tcW w:w="1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1"/>
              <w:spacing w:after="0" w:line="202" w:lineRule="exact"/>
              <w:rPr>
                <w:sz w:val="20"/>
                <w:szCs w:val="20"/>
                <w:color w:val="auto"/>
              </w:rPr>
            </w:pPr>
            <w:r>
              <w:rPr>
                <w:rFonts w:ascii="Times New Roman" w:cs="Times New Roman" w:eastAsia="Times New Roman" w:hAnsi="Times New Roman"/>
                <w:sz w:val="14"/>
                <w:szCs w:val="14"/>
                <w:b w:val="1"/>
                <w:bCs w:val="1"/>
                <w:color w:val="auto"/>
                <w:w w:val="87"/>
              </w:rPr>
              <w:t>Vested</w:t>
            </w:r>
            <w:r>
              <w:rPr>
                <w:rFonts w:ascii="Times New Roman" w:cs="Times New Roman" w:eastAsia="Times New Roman" w:hAnsi="Times New Roman"/>
                <w:sz w:val="23"/>
                <w:szCs w:val="23"/>
                <w:b w:val="1"/>
                <w:bCs w:val="1"/>
                <w:color w:val="auto"/>
                <w:w w:val="87"/>
                <w:vertAlign w:val="superscript"/>
              </w:rPr>
              <w:t>(2) (3)</w:t>
            </w:r>
          </w:p>
        </w:tc>
        <w:tc>
          <w:tcPr>
            <w:tcW w:w="1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1660" w:type="dxa"/>
            <w:vAlign w:val="bottom"/>
            <w:tcBorders>
              <w:left w:val="single" w:sz="8" w:color="auto"/>
              <w:right w:val="single" w:sz="8" w:color="auto"/>
            </w:tcBorders>
            <w:shd w:val="clear" w:color="auto" w:fill="CCEE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right w:val="single" w:sz="8" w:color="auto"/>
            </w:tcBorders>
            <w:shd w:val="clear" w:color="auto" w:fill="CCEDFF"/>
          </w:tcPr>
          <w:p>
            <w:pPr>
              <w:spacing w:after="0"/>
              <w:rPr>
                <w:sz w:val="19"/>
                <w:szCs w:val="19"/>
                <w:color w:val="auto"/>
              </w:rPr>
            </w:pPr>
          </w:p>
        </w:tc>
        <w:tc>
          <w:tcPr>
            <w:tcW w:w="180" w:type="dxa"/>
            <w:vAlign w:val="bottom"/>
            <w:shd w:val="clear" w:color="auto" w:fill="CCEDFF"/>
          </w:tcPr>
          <w:p>
            <w:pPr>
              <w:spacing w:after="0"/>
              <w:rPr>
                <w:sz w:val="19"/>
                <w:szCs w:val="19"/>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DFF"/>
          </w:tcPr>
          <w:p>
            <w:pPr>
              <w:spacing w:after="0"/>
              <w:rPr>
                <w:sz w:val="19"/>
                <w:szCs w:val="19"/>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Borders>
              <w:right w:val="single" w:sz="8" w:color="auto"/>
            </w:tcBorders>
            <w:shd w:val="clear" w:color="auto" w:fill="CCEDFF"/>
          </w:tcPr>
          <w:p>
            <w:pPr>
              <w:spacing w:after="0"/>
              <w:rPr>
                <w:sz w:val="19"/>
                <w:szCs w:val="19"/>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6/30/2018</w:t>
            </w:r>
          </w:p>
        </w:tc>
        <w:tc>
          <w:tcPr>
            <w:tcW w:w="160" w:type="dxa"/>
            <w:vAlign w:val="bottom"/>
            <w:shd w:val="clear" w:color="auto" w:fill="CCEDFF"/>
          </w:tcPr>
          <w:p>
            <w:pPr>
              <w:spacing w:after="0"/>
              <w:rPr>
                <w:sz w:val="19"/>
                <w:szCs w:val="19"/>
                <w:color w:val="auto"/>
              </w:rPr>
            </w:pPr>
          </w:p>
        </w:tc>
        <w:tc>
          <w:tcPr>
            <w:tcW w:w="1040" w:type="dxa"/>
            <w:vAlign w:val="bottom"/>
            <w:shd w:val="clear" w:color="auto" w:fill="CCEDFF"/>
          </w:tcPr>
          <w:p>
            <w:pPr>
              <w:spacing w:after="0"/>
              <w:rPr>
                <w:sz w:val="19"/>
                <w:szCs w:val="19"/>
                <w:color w:val="auto"/>
              </w:rPr>
            </w:pPr>
          </w:p>
        </w:tc>
        <w:tc>
          <w:tcPr>
            <w:tcW w:w="120" w:type="dxa"/>
            <w:vAlign w:val="bottom"/>
            <w:tcBorders>
              <w:right w:val="single" w:sz="8" w:color="auto"/>
            </w:tcBorders>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920" w:type="dxa"/>
            <w:vAlign w:val="bottom"/>
            <w:tcBorders>
              <w:right w:val="single" w:sz="8" w:color="auto"/>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660" w:type="dxa"/>
            <w:vAlign w:val="bottom"/>
            <w:tcBorders>
              <w:left w:val="single" w:sz="8" w:color="auto"/>
              <w:right w:val="single" w:sz="8" w:color="auto"/>
            </w:tcBorders>
            <w:shd w:val="clear" w:color="auto" w:fill="CCEEFF"/>
          </w:tcPr>
          <w:p>
            <w:pPr>
              <w:spacing w:after="0"/>
              <w:rPr>
                <w:sz w:val="20"/>
                <w:szCs w:val="20"/>
                <w:color w:val="auto"/>
              </w:rPr>
            </w:pPr>
          </w:p>
        </w:tc>
        <w:tc>
          <w:tcPr>
            <w:tcW w:w="180" w:type="dxa"/>
            <w:vAlign w:val="bottom"/>
            <w:shd w:val="clear" w:color="auto" w:fill="CCEDFF"/>
          </w:tcPr>
          <w:p>
            <w:pPr>
              <w:spacing w:after="0"/>
              <w:rPr>
                <w:sz w:val="20"/>
                <w:szCs w:val="20"/>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right w:val="single" w:sz="8" w:color="auto"/>
            </w:tcBorders>
            <w:shd w:val="clear" w:color="auto" w:fill="CCEDFF"/>
          </w:tcPr>
          <w:p>
            <w:pPr>
              <w:spacing w:after="0"/>
              <w:rPr>
                <w:sz w:val="20"/>
                <w:szCs w:val="20"/>
                <w:color w:val="auto"/>
              </w:rPr>
            </w:pPr>
          </w:p>
        </w:tc>
        <w:tc>
          <w:tcPr>
            <w:tcW w:w="180" w:type="dxa"/>
            <w:vAlign w:val="bottom"/>
            <w:shd w:val="clear" w:color="auto" w:fill="CCEDFF"/>
          </w:tcPr>
          <w:p>
            <w:pPr>
              <w:spacing w:after="0"/>
              <w:rPr>
                <w:sz w:val="20"/>
                <w:szCs w:val="20"/>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DFF"/>
          </w:tcPr>
          <w:p>
            <w:pPr>
              <w:spacing w:after="0"/>
              <w:rPr>
                <w:sz w:val="20"/>
                <w:szCs w:val="20"/>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tcBorders>
              <w:right w:val="single" w:sz="8" w:color="auto"/>
            </w:tcBorders>
            <w:shd w:val="clear" w:color="auto" w:fill="CCEDFF"/>
          </w:tcPr>
          <w:p>
            <w:pPr>
              <w:spacing w:after="0"/>
              <w:rPr>
                <w:sz w:val="20"/>
                <w:szCs w:val="20"/>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6/30/2019</w:t>
            </w:r>
          </w:p>
        </w:tc>
        <w:tc>
          <w:tcPr>
            <w:tcW w:w="160" w:type="dxa"/>
            <w:vAlign w:val="bottom"/>
            <w:shd w:val="clear" w:color="auto" w:fill="CCEDFF"/>
          </w:tcPr>
          <w:p>
            <w:pPr>
              <w:spacing w:after="0"/>
              <w:rPr>
                <w:sz w:val="20"/>
                <w:szCs w:val="20"/>
                <w:color w:val="auto"/>
              </w:rPr>
            </w:pPr>
          </w:p>
        </w:tc>
        <w:tc>
          <w:tcPr>
            <w:tcW w:w="1040" w:type="dxa"/>
            <w:vAlign w:val="bottom"/>
            <w:shd w:val="clear" w:color="auto" w:fill="CCEDFF"/>
          </w:tcPr>
          <w:p>
            <w:pPr>
              <w:spacing w:after="0"/>
              <w:rPr>
                <w:sz w:val="20"/>
                <w:szCs w:val="20"/>
                <w:color w:val="auto"/>
              </w:rPr>
            </w:pPr>
          </w:p>
        </w:tc>
        <w:tc>
          <w:tcPr>
            <w:tcW w:w="120" w:type="dxa"/>
            <w:vAlign w:val="bottom"/>
            <w:tcBorders>
              <w:right w:val="single" w:sz="8" w:color="auto"/>
            </w:tcBorders>
            <w:shd w:val="clear" w:color="auto" w:fill="CCEDFF"/>
          </w:tcPr>
          <w:p>
            <w:pPr>
              <w:spacing w:after="0"/>
              <w:rPr>
                <w:sz w:val="20"/>
                <w:szCs w:val="20"/>
                <w:color w:val="auto"/>
              </w:rPr>
            </w:pPr>
          </w:p>
        </w:tc>
        <w:tc>
          <w:tcPr>
            <w:tcW w:w="200" w:type="dxa"/>
            <w:vAlign w:val="bottom"/>
            <w:shd w:val="clear" w:color="auto" w:fill="CCEDFF"/>
          </w:tcPr>
          <w:p>
            <w:pPr>
              <w:spacing w:after="0"/>
              <w:rPr>
                <w:sz w:val="20"/>
                <w:szCs w:val="20"/>
                <w:color w:val="auto"/>
              </w:rPr>
            </w:pPr>
          </w:p>
        </w:tc>
        <w:tc>
          <w:tcPr>
            <w:tcW w:w="920" w:type="dxa"/>
            <w:vAlign w:val="bottom"/>
            <w:tcBorders>
              <w:right w:val="single" w:sz="8" w:color="auto"/>
            </w:tcBorders>
            <w:shd w:val="clear" w:color="auto" w:fill="CCED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shd w:val="clear" w:color="auto" w:fill="CCEE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Borders>
              <w:right w:val="single" w:sz="8" w:color="auto"/>
            </w:tcBorders>
            <w:shd w:val="clear" w:color="auto" w:fill="CCEDFF"/>
          </w:tcPr>
          <w:p>
            <w:pPr>
              <w:spacing w:after="0"/>
              <w:rPr>
                <w:sz w:val="21"/>
                <w:szCs w:val="21"/>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6/30/2020</w:t>
            </w:r>
          </w:p>
        </w:tc>
        <w:tc>
          <w:tcPr>
            <w:tcW w:w="160" w:type="dxa"/>
            <w:vAlign w:val="bottom"/>
            <w:shd w:val="clear" w:color="auto" w:fill="CCEDFF"/>
          </w:tcPr>
          <w:p>
            <w:pPr>
              <w:spacing w:after="0"/>
              <w:rPr>
                <w:sz w:val="21"/>
                <w:szCs w:val="21"/>
                <w:color w:val="auto"/>
              </w:rPr>
            </w:pPr>
          </w:p>
        </w:tc>
        <w:tc>
          <w:tcPr>
            <w:tcW w:w="1040" w:type="dxa"/>
            <w:vAlign w:val="bottom"/>
            <w:shd w:val="clear" w:color="auto" w:fill="CCEDFF"/>
          </w:tcPr>
          <w:p>
            <w:pPr>
              <w:spacing w:after="0"/>
              <w:rPr>
                <w:sz w:val="21"/>
                <w:szCs w:val="21"/>
                <w:color w:val="auto"/>
              </w:rPr>
            </w:pPr>
          </w:p>
        </w:tc>
        <w:tc>
          <w:tcPr>
            <w:tcW w:w="120" w:type="dxa"/>
            <w:vAlign w:val="bottom"/>
            <w:tcBorders>
              <w:right w:val="single" w:sz="8" w:color="auto"/>
            </w:tcBorders>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920" w:type="dxa"/>
            <w:vAlign w:val="bottom"/>
            <w:tcBorders>
              <w:right w:val="single" w:sz="8" w:color="auto"/>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shd w:val="clear" w:color="auto" w:fill="CCEE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Borders>
              <w:right w:val="single" w:sz="8" w:color="auto"/>
            </w:tcBorders>
            <w:shd w:val="clear" w:color="auto" w:fill="CCEDFF"/>
          </w:tcPr>
          <w:p>
            <w:pPr>
              <w:spacing w:after="0"/>
              <w:rPr>
                <w:sz w:val="21"/>
                <w:szCs w:val="21"/>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6/30/2021</w:t>
            </w:r>
          </w:p>
        </w:tc>
        <w:tc>
          <w:tcPr>
            <w:tcW w:w="160" w:type="dxa"/>
            <w:vAlign w:val="bottom"/>
            <w:shd w:val="clear" w:color="auto" w:fill="CCEDFF"/>
          </w:tcPr>
          <w:p>
            <w:pPr>
              <w:spacing w:after="0"/>
              <w:rPr>
                <w:sz w:val="21"/>
                <w:szCs w:val="21"/>
                <w:color w:val="auto"/>
              </w:rPr>
            </w:pPr>
          </w:p>
        </w:tc>
        <w:tc>
          <w:tcPr>
            <w:tcW w:w="1040" w:type="dxa"/>
            <w:vAlign w:val="bottom"/>
            <w:shd w:val="clear" w:color="auto" w:fill="CCEDFF"/>
          </w:tcPr>
          <w:p>
            <w:pPr>
              <w:spacing w:after="0"/>
              <w:rPr>
                <w:sz w:val="21"/>
                <w:szCs w:val="21"/>
                <w:color w:val="auto"/>
              </w:rPr>
            </w:pPr>
          </w:p>
        </w:tc>
        <w:tc>
          <w:tcPr>
            <w:tcW w:w="120" w:type="dxa"/>
            <w:vAlign w:val="bottom"/>
            <w:tcBorders>
              <w:right w:val="single" w:sz="8" w:color="auto"/>
            </w:tcBorders>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920" w:type="dxa"/>
            <w:vAlign w:val="bottom"/>
            <w:tcBorders>
              <w:right w:val="single" w:sz="8" w:color="auto"/>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Spencer R.</w:t>
            </w:r>
          </w:p>
        </w:tc>
        <w:tc>
          <w:tcPr>
            <w:tcW w:w="180" w:type="dxa"/>
            <w:vAlign w:val="bottom"/>
            <w:shd w:val="clear" w:color="auto" w:fill="CCEDFF"/>
          </w:tcPr>
          <w:p>
            <w:pPr>
              <w:spacing w:after="0"/>
              <w:rPr>
                <w:sz w:val="22"/>
                <w:szCs w:val="22"/>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20" w:type="dxa"/>
            <w:vAlign w:val="bottom"/>
            <w:tcBorders>
              <w:right w:val="single" w:sz="8" w:color="auto"/>
            </w:tcBorders>
            <w:shd w:val="clear" w:color="auto" w:fill="CCEDFF"/>
          </w:tcPr>
          <w:p>
            <w:pPr>
              <w:spacing w:after="0"/>
              <w:rPr>
                <w:sz w:val="22"/>
                <w:szCs w:val="22"/>
                <w:color w:val="auto"/>
              </w:rPr>
            </w:pPr>
          </w:p>
        </w:tc>
        <w:tc>
          <w:tcPr>
            <w:tcW w:w="180" w:type="dxa"/>
            <w:vAlign w:val="bottom"/>
            <w:shd w:val="clear" w:color="auto" w:fill="CCEDFF"/>
          </w:tcPr>
          <w:p>
            <w:pPr>
              <w:spacing w:after="0"/>
              <w:rPr>
                <w:sz w:val="22"/>
                <w:szCs w:val="22"/>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DFF"/>
          </w:tcPr>
          <w:p>
            <w:pPr>
              <w:spacing w:after="0"/>
              <w:rPr>
                <w:sz w:val="22"/>
                <w:szCs w:val="22"/>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Borders>
              <w:right w:val="single" w:sz="8" w:color="auto"/>
            </w:tcBorders>
            <w:shd w:val="clear" w:color="auto" w:fill="CCEDFF"/>
          </w:tcPr>
          <w:p>
            <w:pPr>
              <w:spacing w:after="0"/>
              <w:rPr>
                <w:sz w:val="22"/>
                <w:szCs w:val="22"/>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7/1/2022</w:t>
            </w:r>
          </w:p>
        </w:tc>
        <w:tc>
          <w:tcPr>
            <w:tcW w:w="160" w:type="dxa"/>
            <w:vAlign w:val="bottom"/>
            <w:shd w:val="clear" w:color="auto" w:fill="CCEDFF"/>
          </w:tcPr>
          <w:p>
            <w:pPr>
              <w:spacing w:after="0"/>
              <w:rPr>
                <w:sz w:val="22"/>
                <w:szCs w:val="22"/>
                <w:color w:val="auto"/>
              </w:rPr>
            </w:pPr>
          </w:p>
        </w:tc>
        <w:tc>
          <w:tcPr>
            <w:tcW w:w="1040" w:type="dxa"/>
            <w:vAlign w:val="bottom"/>
            <w:vMerge w:val="restart"/>
            <w:shd w:val="clear" w:color="auto" w:fill="CCEDFF"/>
          </w:tcPr>
          <w:p>
            <w:pPr>
              <w:ind w:left="620"/>
              <w:spacing w:after="0"/>
              <w:rPr>
                <w:sz w:val="20"/>
                <w:szCs w:val="20"/>
                <w:color w:val="auto"/>
              </w:rPr>
            </w:pPr>
            <w:r>
              <w:rPr>
                <w:rFonts w:ascii="Times New Roman" w:cs="Times New Roman" w:eastAsia="Times New Roman" w:hAnsi="Times New Roman"/>
                <w:sz w:val="18"/>
                <w:szCs w:val="18"/>
                <w:color w:val="auto"/>
                <w:w w:val="98"/>
              </w:rPr>
              <w:t>6,666</w:t>
            </w:r>
          </w:p>
        </w:tc>
        <w:tc>
          <w:tcPr>
            <w:tcW w:w="120" w:type="dxa"/>
            <w:vAlign w:val="bottom"/>
            <w:tcBorders>
              <w:right w:val="single" w:sz="8" w:color="auto"/>
            </w:tcBorders>
            <w:shd w:val="clear" w:color="auto" w:fill="CCEDFF"/>
          </w:tcPr>
          <w:p>
            <w:pPr>
              <w:spacing w:after="0"/>
              <w:rPr>
                <w:sz w:val="22"/>
                <w:szCs w:val="22"/>
                <w:color w:val="auto"/>
              </w:rPr>
            </w:pPr>
          </w:p>
        </w:tc>
        <w:tc>
          <w:tcPr>
            <w:tcW w:w="20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vMerge w:val="restart"/>
            <w:shd w:val="clear" w:color="auto" w:fill="CCEDFF"/>
          </w:tcPr>
          <w:p>
            <w:pPr>
              <w:jc w:val="right"/>
              <w:ind w:right="42"/>
              <w:spacing w:after="0"/>
              <w:rPr>
                <w:sz w:val="20"/>
                <w:szCs w:val="20"/>
                <w:color w:val="auto"/>
              </w:rPr>
            </w:pPr>
            <w:r>
              <w:rPr>
                <w:rFonts w:ascii="Times New Roman" w:cs="Times New Roman" w:eastAsia="Times New Roman" w:hAnsi="Times New Roman"/>
                <w:sz w:val="18"/>
                <w:szCs w:val="18"/>
                <w:color w:val="auto"/>
              </w:rPr>
              <w:t>335,300</w:t>
            </w:r>
          </w:p>
        </w:tc>
        <w:tc>
          <w:tcPr>
            <w:tcW w:w="0" w:type="dxa"/>
            <w:vAlign w:val="bottom"/>
          </w:tcPr>
          <w:p>
            <w:pPr>
              <w:spacing w:after="0"/>
              <w:rPr>
                <w:sz w:val="1"/>
                <w:szCs w:val="1"/>
                <w:color w:val="auto"/>
              </w:rPr>
            </w:pPr>
          </w:p>
        </w:tc>
      </w:tr>
      <w:tr>
        <w:trPr>
          <w:trHeight w:val="108"/>
        </w:trPr>
        <w:tc>
          <w:tcPr>
            <w:tcW w:w="1660" w:type="dxa"/>
            <w:vAlign w:val="bottom"/>
            <w:tcBorders>
              <w:left w:val="single" w:sz="8" w:color="auto"/>
              <w:right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Berthelsen</w:t>
            </w:r>
          </w:p>
        </w:tc>
        <w:tc>
          <w:tcPr>
            <w:tcW w:w="180" w:type="dxa"/>
            <w:vAlign w:val="bottom"/>
            <w:shd w:val="clear" w:color="auto" w:fill="CCEDFF"/>
          </w:tcPr>
          <w:p>
            <w:pPr>
              <w:spacing w:after="0"/>
              <w:rPr>
                <w:sz w:val="9"/>
                <w:szCs w:val="9"/>
                <w:color w:val="auto"/>
              </w:rPr>
            </w:pPr>
          </w:p>
        </w:tc>
        <w:tc>
          <w:tcPr>
            <w:tcW w:w="106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20" w:type="dxa"/>
            <w:vAlign w:val="bottom"/>
            <w:tcBorders>
              <w:right w:val="single" w:sz="8" w:color="auto"/>
            </w:tcBorders>
            <w:shd w:val="clear" w:color="auto" w:fill="CCEDFF"/>
          </w:tcPr>
          <w:p>
            <w:pPr>
              <w:spacing w:after="0"/>
              <w:rPr>
                <w:sz w:val="9"/>
                <w:szCs w:val="9"/>
                <w:color w:val="auto"/>
              </w:rPr>
            </w:pPr>
          </w:p>
        </w:tc>
        <w:tc>
          <w:tcPr>
            <w:tcW w:w="180" w:type="dxa"/>
            <w:vAlign w:val="bottom"/>
            <w:shd w:val="clear" w:color="auto" w:fill="CCEDFF"/>
          </w:tcPr>
          <w:p>
            <w:pPr>
              <w:spacing w:after="0"/>
              <w:rPr>
                <w:sz w:val="9"/>
                <w:szCs w:val="9"/>
                <w:color w:val="auto"/>
              </w:rPr>
            </w:pPr>
          </w:p>
        </w:tc>
        <w:tc>
          <w:tcPr>
            <w:tcW w:w="106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DFF"/>
          </w:tcPr>
          <w:p>
            <w:pPr>
              <w:spacing w:after="0"/>
              <w:rPr>
                <w:sz w:val="9"/>
                <w:szCs w:val="9"/>
                <w:color w:val="auto"/>
              </w:rPr>
            </w:pPr>
          </w:p>
        </w:tc>
        <w:tc>
          <w:tcPr>
            <w:tcW w:w="18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Borders>
              <w:right w:val="single" w:sz="8" w:color="auto"/>
            </w:tcBorders>
            <w:shd w:val="clear" w:color="auto" w:fill="CCEDFF"/>
          </w:tcPr>
          <w:p>
            <w:pPr>
              <w:spacing w:after="0"/>
              <w:rPr>
                <w:sz w:val="9"/>
                <w:szCs w:val="9"/>
                <w:color w:val="auto"/>
              </w:rPr>
            </w:pPr>
          </w:p>
        </w:tc>
        <w:tc>
          <w:tcPr>
            <w:tcW w:w="1240" w:type="dxa"/>
            <w:vAlign w:val="bottom"/>
            <w:tcBorders>
              <w:right w:val="single" w:sz="8" w:color="auto"/>
            </w:tcBorders>
            <w:vMerge w:val="restart"/>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6/30/2023</w:t>
            </w:r>
          </w:p>
        </w:tc>
        <w:tc>
          <w:tcPr>
            <w:tcW w:w="160" w:type="dxa"/>
            <w:vAlign w:val="bottom"/>
            <w:shd w:val="clear" w:color="auto" w:fill="CCEDFF"/>
          </w:tcPr>
          <w:p>
            <w:pPr>
              <w:spacing w:after="0"/>
              <w:rPr>
                <w:sz w:val="9"/>
                <w:szCs w:val="9"/>
                <w:color w:val="auto"/>
              </w:rPr>
            </w:pPr>
          </w:p>
        </w:tc>
        <w:tc>
          <w:tcPr>
            <w:tcW w:w="1040" w:type="dxa"/>
            <w:vAlign w:val="bottom"/>
            <w:vMerge w:val="continue"/>
            <w:shd w:val="clear" w:color="auto" w:fill="CCEDFF"/>
          </w:tcPr>
          <w:p>
            <w:pPr>
              <w:spacing w:after="0"/>
              <w:rPr>
                <w:sz w:val="9"/>
                <w:szCs w:val="9"/>
                <w:color w:val="auto"/>
              </w:rPr>
            </w:pPr>
          </w:p>
        </w:tc>
        <w:tc>
          <w:tcPr>
            <w:tcW w:w="120" w:type="dxa"/>
            <w:vAlign w:val="bottom"/>
            <w:tcBorders>
              <w:right w:val="single" w:sz="8" w:color="auto"/>
            </w:tcBorders>
            <w:shd w:val="clear" w:color="auto" w:fill="CCEDFF"/>
          </w:tcPr>
          <w:p>
            <w:pPr>
              <w:spacing w:after="0"/>
              <w:rPr>
                <w:sz w:val="9"/>
                <w:szCs w:val="9"/>
                <w:color w:val="auto"/>
              </w:rPr>
            </w:pPr>
          </w:p>
        </w:tc>
        <w:tc>
          <w:tcPr>
            <w:tcW w:w="200" w:type="dxa"/>
            <w:vAlign w:val="bottom"/>
            <w:vMerge w:val="continue"/>
            <w:shd w:val="clear" w:color="auto" w:fill="CCEDFF"/>
          </w:tcPr>
          <w:p>
            <w:pPr>
              <w:spacing w:after="0"/>
              <w:rPr>
                <w:sz w:val="9"/>
                <w:szCs w:val="9"/>
                <w:color w:val="auto"/>
              </w:rPr>
            </w:pPr>
          </w:p>
        </w:tc>
        <w:tc>
          <w:tcPr>
            <w:tcW w:w="920" w:type="dxa"/>
            <w:vAlign w:val="bottom"/>
            <w:tcBorders>
              <w:right w:val="single" w:sz="8" w:color="auto"/>
            </w:tcBorders>
            <w:vMerge w:val="continue"/>
            <w:shd w:val="clear" w:color="auto" w:fill="CCED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6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180" w:type="dxa"/>
            <w:vAlign w:val="bottom"/>
            <w:shd w:val="clear" w:color="auto" w:fill="CCEDFF"/>
          </w:tcPr>
          <w:p>
            <w:pPr>
              <w:spacing w:after="0"/>
              <w:rPr>
                <w:sz w:val="10"/>
                <w:szCs w:val="10"/>
                <w:color w:val="auto"/>
              </w:rPr>
            </w:pPr>
          </w:p>
        </w:tc>
        <w:tc>
          <w:tcPr>
            <w:tcW w:w="1060" w:type="dxa"/>
            <w:vAlign w:val="bottom"/>
            <w:vMerge w:val="continue"/>
            <w:shd w:val="clear" w:color="auto" w:fill="CCEDFF"/>
          </w:tcPr>
          <w:p>
            <w:pPr>
              <w:spacing w:after="0"/>
              <w:rPr>
                <w:sz w:val="10"/>
                <w:szCs w:val="10"/>
                <w:color w:val="auto"/>
              </w:rPr>
            </w:pPr>
          </w:p>
        </w:tc>
        <w:tc>
          <w:tcPr>
            <w:tcW w:w="120" w:type="dxa"/>
            <w:vAlign w:val="bottom"/>
            <w:tcBorders>
              <w:right w:val="single" w:sz="8" w:color="auto"/>
            </w:tcBorders>
            <w:shd w:val="clear" w:color="auto" w:fill="CCEDFF"/>
          </w:tcPr>
          <w:p>
            <w:pPr>
              <w:spacing w:after="0"/>
              <w:rPr>
                <w:sz w:val="10"/>
                <w:szCs w:val="10"/>
                <w:color w:val="auto"/>
              </w:rPr>
            </w:pPr>
          </w:p>
        </w:tc>
        <w:tc>
          <w:tcPr>
            <w:tcW w:w="180" w:type="dxa"/>
            <w:vAlign w:val="bottom"/>
            <w:shd w:val="clear" w:color="auto" w:fill="CCEDFF"/>
          </w:tcPr>
          <w:p>
            <w:pPr>
              <w:spacing w:after="0"/>
              <w:rPr>
                <w:sz w:val="10"/>
                <w:szCs w:val="10"/>
                <w:color w:val="auto"/>
              </w:rPr>
            </w:pPr>
          </w:p>
        </w:tc>
        <w:tc>
          <w:tcPr>
            <w:tcW w:w="1060" w:type="dxa"/>
            <w:vAlign w:val="bottom"/>
            <w:vMerge w:val="continue"/>
            <w:shd w:val="clear" w:color="auto" w:fill="CCEDFF"/>
          </w:tcPr>
          <w:p>
            <w:pPr>
              <w:spacing w:after="0"/>
              <w:rPr>
                <w:sz w:val="10"/>
                <w:szCs w:val="10"/>
                <w:color w:val="auto"/>
              </w:rPr>
            </w:pPr>
          </w:p>
        </w:tc>
        <w:tc>
          <w:tcPr>
            <w:tcW w:w="100" w:type="dxa"/>
            <w:vAlign w:val="bottom"/>
            <w:tcBorders>
              <w:right w:val="single" w:sz="8" w:color="auto"/>
            </w:tcBorders>
            <w:shd w:val="clear" w:color="auto" w:fill="CCEDFF"/>
          </w:tcPr>
          <w:p>
            <w:pPr>
              <w:spacing w:after="0"/>
              <w:rPr>
                <w:sz w:val="10"/>
                <w:szCs w:val="10"/>
                <w:color w:val="auto"/>
              </w:rPr>
            </w:pPr>
          </w:p>
        </w:tc>
        <w:tc>
          <w:tcPr>
            <w:tcW w:w="180" w:type="dxa"/>
            <w:vAlign w:val="bottom"/>
            <w:vMerge w:val="continue"/>
            <w:shd w:val="clear" w:color="auto" w:fill="CCEDFF"/>
          </w:tcPr>
          <w:p>
            <w:pPr>
              <w:spacing w:after="0"/>
              <w:rPr>
                <w:sz w:val="10"/>
                <w:szCs w:val="10"/>
                <w:color w:val="auto"/>
              </w:rPr>
            </w:pPr>
          </w:p>
        </w:tc>
        <w:tc>
          <w:tcPr>
            <w:tcW w:w="1220" w:type="dxa"/>
            <w:vAlign w:val="bottom"/>
            <w:vMerge w:val="continue"/>
            <w:shd w:val="clear" w:color="auto" w:fill="CCEDFF"/>
          </w:tcPr>
          <w:p>
            <w:pPr>
              <w:spacing w:after="0"/>
              <w:rPr>
                <w:sz w:val="10"/>
                <w:szCs w:val="10"/>
                <w:color w:val="auto"/>
              </w:rPr>
            </w:pPr>
          </w:p>
        </w:tc>
        <w:tc>
          <w:tcPr>
            <w:tcW w:w="120" w:type="dxa"/>
            <w:vAlign w:val="bottom"/>
            <w:tcBorders>
              <w:right w:val="single" w:sz="8" w:color="auto"/>
            </w:tcBorders>
            <w:shd w:val="clear" w:color="auto" w:fill="CCEDFF"/>
          </w:tcPr>
          <w:p>
            <w:pPr>
              <w:spacing w:after="0"/>
              <w:rPr>
                <w:sz w:val="10"/>
                <w:szCs w:val="10"/>
                <w:color w:val="auto"/>
              </w:rPr>
            </w:pPr>
          </w:p>
        </w:tc>
        <w:tc>
          <w:tcPr>
            <w:tcW w:w="1240" w:type="dxa"/>
            <w:vAlign w:val="bottom"/>
            <w:tcBorders>
              <w:right w:val="single" w:sz="8" w:color="auto"/>
            </w:tcBorders>
            <w:vMerge w:val="continue"/>
            <w:shd w:val="clear" w:color="auto" w:fill="CCEDFF"/>
          </w:tcPr>
          <w:p>
            <w:pPr>
              <w:spacing w:after="0"/>
              <w:rPr>
                <w:sz w:val="10"/>
                <w:szCs w:val="10"/>
                <w:color w:val="auto"/>
              </w:rPr>
            </w:pPr>
          </w:p>
        </w:tc>
        <w:tc>
          <w:tcPr>
            <w:tcW w:w="160" w:type="dxa"/>
            <w:vAlign w:val="bottom"/>
            <w:shd w:val="clear" w:color="auto" w:fill="CCEDFF"/>
          </w:tcPr>
          <w:p>
            <w:pPr>
              <w:spacing w:after="0"/>
              <w:rPr>
                <w:sz w:val="10"/>
                <w:szCs w:val="10"/>
                <w:color w:val="auto"/>
              </w:rPr>
            </w:pPr>
          </w:p>
        </w:tc>
        <w:tc>
          <w:tcPr>
            <w:tcW w:w="1040" w:type="dxa"/>
            <w:vAlign w:val="bottom"/>
            <w:shd w:val="clear" w:color="auto" w:fill="CCEDFF"/>
          </w:tcPr>
          <w:p>
            <w:pPr>
              <w:spacing w:after="0"/>
              <w:rPr>
                <w:sz w:val="10"/>
                <w:szCs w:val="10"/>
                <w:color w:val="auto"/>
              </w:rPr>
            </w:pPr>
          </w:p>
        </w:tc>
        <w:tc>
          <w:tcPr>
            <w:tcW w:w="120" w:type="dxa"/>
            <w:vAlign w:val="bottom"/>
            <w:tcBorders>
              <w:right w:val="single" w:sz="8" w:color="auto"/>
            </w:tcBorders>
            <w:shd w:val="clear" w:color="auto" w:fill="CCEDFF"/>
          </w:tcPr>
          <w:p>
            <w:pPr>
              <w:spacing w:after="0"/>
              <w:rPr>
                <w:sz w:val="10"/>
                <w:szCs w:val="10"/>
                <w:color w:val="auto"/>
              </w:rPr>
            </w:pPr>
          </w:p>
        </w:tc>
        <w:tc>
          <w:tcPr>
            <w:tcW w:w="200" w:type="dxa"/>
            <w:vAlign w:val="bottom"/>
            <w:shd w:val="clear" w:color="auto" w:fill="CCEDFF"/>
          </w:tcPr>
          <w:p>
            <w:pPr>
              <w:spacing w:after="0"/>
              <w:rPr>
                <w:sz w:val="10"/>
                <w:szCs w:val="10"/>
                <w:color w:val="auto"/>
              </w:rPr>
            </w:pPr>
          </w:p>
        </w:tc>
        <w:tc>
          <w:tcPr>
            <w:tcW w:w="920" w:type="dxa"/>
            <w:vAlign w:val="bottom"/>
            <w:tcBorders>
              <w:right w:val="single" w:sz="8" w:color="auto"/>
            </w:tcBorders>
            <w:shd w:val="clear" w:color="auto" w:fill="CCEDFF"/>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660" w:type="dxa"/>
            <w:vAlign w:val="bottom"/>
            <w:tcBorders>
              <w:left w:val="single" w:sz="8" w:color="auto"/>
              <w:right w:val="single" w:sz="8" w:color="auto"/>
            </w:tcBorders>
            <w:shd w:val="clear" w:color="auto" w:fill="CCEEFF"/>
          </w:tcPr>
          <w:p>
            <w:pPr>
              <w:spacing w:after="0"/>
              <w:rPr>
                <w:sz w:val="20"/>
                <w:szCs w:val="20"/>
                <w:color w:val="auto"/>
              </w:rPr>
            </w:pPr>
          </w:p>
        </w:tc>
        <w:tc>
          <w:tcPr>
            <w:tcW w:w="180" w:type="dxa"/>
            <w:vAlign w:val="bottom"/>
            <w:shd w:val="clear" w:color="auto" w:fill="CCEDFF"/>
          </w:tcPr>
          <w:p>
            <w:pPr>
              <w:spacing w:after="0"/>
              <w:rPr>
                <w:sz w:val="20"/>
                <w:szCs w:val="20"/>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Borders>
              <w:right w:val="single" w:sz="8" w:color="auto"/>
            </w:tcBorders>
            <w:shd w:val="clear" w:color="auto" w:fill="CCEDFF"/>
          </w:tcPr>
          <w:p>
            <w:pPr>
              <w:spacing w:after="0"/>
              <w:rPr>
                <w:sz w:val="20"/>
                <w:szCs w:val="20"/>
                <w:color w:val="auto"/>
              </w:rPr>
            </w:pPr>
          </w:p>
        </w:tc>
        <w:tc>
          <w:tcPr>
            <w:tcW w:w="180" w:type="dxa"/>
            <w:vAlign w:val="bottom"/>
            <w:shd w:val="clear" w:color="auto" w:fill="CCEDFF"/>
          </w:tcPr>
          <w:p>
            <w:pPr>
              <w:spacing w:after="0"/>
              <w:rPr>
                <w:sz w:val="20"/>
                <w:szCs w:val="20"/>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right w:val="single" w:sz="8" w:color="auto"/>
            </w:tcBorders>
            <w:shd w:val="clear" w:color="auto" w:fill="CCEDFF"/>
          </w:tcPr>
          <w:p>
            <w:pPr>
              <w:spacing w:after="0"/>
              <w:rPr>
                <w:sz w:val="20"/>
                <w:szCs w:val="20"/>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tcBorders>
              <w:right w:val="single" w:sz="8" w:color="auto"/>
            </w:tcBorders>
            <w:shd w:val="clear" w:color="auto" w:fill="CCEDFF"/>
          </w:tcPr>
          <w:p>
            <w:pPr>
              <w:spacing w:after="0"/>
              <w:rPr>
                <w:sz w:val="20"/>
                <w:szCs w:val="20"/>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6/30/2024</w:t>
            </w:r>
          </w:p>
        </w:tc>
        <w:tc>
          <w:tcPr>
            <w:tcW w:w="160" w:type="dxa"/>
            <w:vAlign w:val="bottom"/>
            <w:shd w:val="clear" w:color="auto" w:fill="CCEDFF"/>
          </w:tcPr>
          <w:p>
            <w:pPr>
              <w:spacing w:after="0"/>
              <w:rPr>
                <w:sz w:val="20"/>
                <w:szCs w:val="20"/>
                <w:color w:val="auto"/>
              </w:rPr>
            </w:pPr>
          </w:p>
        </w:tc>
        <w:tc>
          <w:tcPr>
            <w:tcW w:w="1040" w:type="dxa"/>
            <w:vAlign w:val="bottom"/>
            <w:shd w:val="clear" w:color="auto" w:fill="CCEDFF"/>
          </w:tcPr>
          <w:p>
            <w:pPr>
              <w:spacing w:after="0"/>
              <w:rPr>
                <w:sz w:val="20"/>
                <w:szCs w:val="20"/>
                <w:color w:val="auto"/>
              </w:rPr>
            </w:pPr>
          </w:p>
        </w:tc>
        <w:tc>
          <w:tcPr>
            <w:tcW w:w="120" w:type="dxa"/>
            <w:vAlign w:val="bottom"/>
            <w:tcBorders>
              <w:right w:val="single" w:sz="8" w:color="auto"/>
            </w:tcBorders>
            <w:shd w:val="clear" w:color="auto" w:fill="CCEDFF"/>
          </w:tcPr>
          <w:p>
            <w:pPr>
              <w:spacing w:after="0"/>
              <w:rPr>
                <w:sz w:val="20"/>
                <w:szCs w:val="20"/>
                <w:color w:val="auto"/>
              </w:rPr>
            </w:pPr>
          </w:p>
        </w:tc>
        <w:tc>
          <w:tcPr>
            <w:tcW w:w="200" w:type="dxa"/>
            <w:vAlign w:val="bottom"/>
            <w:shd w:val="clear" w:color="auto" w:fill="CCEDFF"/>
          </w:tcPr>
          <w:p>
            <w:pPr>
              <w:spacing w:after="0"/>
              <w:rPr>
                <w:sz w:val="20"/>
                <w:szCs w:val="20"/>
                <w:color w:val="auto"/>
              </w:rPr>
            </w:pPr>
          </w:p>
        </w:tc>
        <w:tc>
          <w:tcPr>
            <w:tcW w:w="920" w:type="dxa"/>
            <w:vAlign w:val="bottom"/>
            <w:tcBorders>
              <w:right w:val="single" w:sz="8" w:color="auto"/>
            </w:tcBorders>
            <w:shd w:val="clear" w:color="auto" w:fill="CCED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shd w:val="clear" w:color="auto" w:fill="CCEE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20" w:type="dxa"/>
            <w:vAlign w:val="bottom"/>
            <w:tcBorders>
              <w:right w:val="single" w:sz="8" w:color="auto"/>
            </w:tcBorders>
            <w:shd w:val="clear" w:color="auto" w:fill="CCEDFF"/>
          </w:tcPr>
          <w:p>
            <w:pPr>
              <w:spacing w:after="0"/>
              <w:rPr>
                <w:sz w:val="21"/>
                <w:szCs w:val="21"/>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6/30/2025</w:t>
            </w:r>
          </w:p>
        </w:tc>
        <w:tc>
          <w:tcPr>
            <w:tcW w:w="160" w:type="dxa"/>
            <w:vAlign w:val="bottom"/>
            <w:shd w:val="clear" w:color="auto" w:fill="CCEDFF"/>
          </w:tcPr>
          <w:p>
            <w:pPr>
              <w:spacing w:after="0"/>
              <w:rPr>
                <w:sz w:val="21"/>
                <w:szCs w:val="21"/>
                <w:color w:val="auto"/>
              </w:rPr>
            </w:pPr>
          </w:p>
        </w:tc>
        <w:tc>
          <w:tcPr>
            <w:tcW w:w="1040" w:type="dxa"/>
            <w:vAlign w:val="bottom"/>
            <w:shd w:val="clear" w:color="auto" w:fill="CCEDFF"/>
          </w:tcPr>
          <w:p>
            <w:pPr>
              <w:spacing w:after="0"/>
              <w:rPr>
                <w:sz w:val="21"/>
                <w:szCs w:val="21"/>
                <w:color w:val="auto"/>
              </w:rPr>
            </w:pPr>
          </w:p>
        </w:tc>
        <w:tc>
          <w:tcPr>
            <w:tcW w:w="120" w:type="dxa"/>
            <w:vAlign w:val="bottom"/>
            <w:tcBorders>
              <w:right w:val="single" w:sz="8" w:color="auto"/>
            </w:tcBorders>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920" w:type="dxa"/>
            <w:vAlign w:val="bottom"/>
            <w:tcBorders>
              <w:right w:val="single" w:sz="8" w:color="auto"/>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shd w:val="clear" w:color="auto" w:fill="CCEE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20" w:type="dxa"/>
            <w:vAlign w:val="bottom"/>
            <w:tcBorders>
              <w:right w:val="single" w:sz="8" w:color="auto"/>
            </w:tcBorders>
            <w:shd w:val="clear" w:color="auto" w:fill="CCEDFF"/>
          </w:tcPr>
          <w:p>
            <w:pPr>
              <w:spacing w:after="0"/>
              <w:rPr>
                <w:sz w:val="21"/>
                <w:szCs w:val="21"/>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6/30/2026</w:t>
            </w:r>
          </w:p>
        </w:tc>
        <w:tc>
          <w:tcPr>
            <w:tcW w:w="160" w:type="dxa"/>
            <w:vAlign w:val="bottom"/>
            <w:shd w:val="clear" w:color="auto" w:fill="CCEDFF"/>
          </w:tcPr>
          <w:p>
            <w:pPr>
              <w:spacing w:after="0"/>
              <w:rPr>
                <w:sz w:val="21"/>
                <w:szCs w:val="21"/>
                <w:color w:val="auto"/>
              </w:rPr>
            </w:pPr>
          </w:p>
        </w:tc>
        <w:tc>
          <w:tcPr>
            <w:tcW w:w="1040" w:type="dxa"/>
            <w:vAlign w:val="bottom"/>
            <w:shd w:val="clear" w:color="auto" w:fill="CCEDFF"/>
          </w:tcPr>
          <w:p>
            <w:pPr>
              <w:spacing w:after="0"/>
              <w:rPr>
                <w:sz w:val="21"/>
                <w:szCs w:val="21"/>
                <w:color w:val="auto"/>
              </w:rPr>
            </w:pPr>
          </w:p>
        </w:tc>
        <w:tc>
          <w:tcPr>
            <w:tcW w:w="120" w:type="dxa"/>
            <w:vAlign w:val="bottom"/>
            <w:tcBorders>
              <w:right w:val="single" w:sz="8" w:color="auto"/>
            </w:tcBorders>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920" w:type="dxa"/>
            <w:vAlign w:val="bottom"/>
            <w:tcBorders>
              <w:right w:val="single" w:sz="8" w:color="auto"/>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DFF"/>
          </w:tcPr>
          <w:p>
            <w:pPr>
              <w:spacing w:after="0"/>
              <w:rPr>
                <w:sz w:val="21"/>
                <w:szCs w:val="21"/>
                <w:color w:val="auto"/>
              </w:rPr>
            </w:pP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shd w:val="clear" w:color="auto" w:fill="CCEDFF"/>
          </w:tcPr>
          <w:p>
            <w:pPr>
              <w:spacing w:after="0"/>
              <w:rPr>
                <w:sz w:val="21"/>
                <w:szCs w:val="21"/>
                <w:color w:val="auto"/>
              </w:rPr>
            </w:pPr>
          </w:p>
        </w:tc>
        <w:tc>
          <w:tcPr>
            <w:tcW w:w="180" w:type="dxa"/>
            <w:vAlign w:val="bottom"/>
            <w:tcBorders>
              <w:bottom w:val="single" w:sz="8" w:color="auto"/>
            </w:tcBorders>
            <w:shd w:val="clear" w:color="auto" w:fill="CCEDFF"/>
          </w:tcPr>
          <w:p>
            <w:pPr>
              <w:spacing w:after="0"/>
              <w:rPr>
                <w:sz w:val="21"/>
                <w:szCs w:val="21"/>
                <w:color w:val="auto"/>
              </w:rPr>
            </w:pP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Borders>
              <w:bottom w:val="single" w:sz="8" w:color="auto"/>
              <w:right w:val="single" w:sz="8" w:color="auto"/>
            </w:tcBorders>
            <w:shd w:val="clear" w:color="auto" w:fill="CCEDFF"/>
          </w:tcPr>
          <w:p>
            <w:pPr>
              <w:spacing w:after="0"/>
              <w:rPr>
                <w:sz w:val="21"/>
                <w:szCs w:val="21"/>
                <w:color w:val="auto"/>
              </w:rPr>
            </w:pPr>
          </w:p>
        </w:tc>
        <w:tc>
          <w:tcPr>
            <w:tcW w:w="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20" w:type="dxa"/>
            <w:vAlign w:val="bottom"/>
            <w:tcBorders>
              <w:bottom w:val="single" w:sz="8" w:color="auto"/>
              <w:right w:val="single" w:sz="8" w:color="auto"/>
            </w:tcBorders>
            <w:shd w:val="clear" w:color="auto" w:fill="CCEDFF"/>
          </w:tcPr>
          <w:p>
            <w:pPr>
              <w:spacing w:after="0"/>
              <w:rPr>
                <w:sz w:val="21"/>
                <w:szCs w:val="21"/>
                <w:color w:val="auto"/>
              </w:rPr>
            </w:pPr>
          </w:p>
        </w:tc>
        <w:tc>
          <w:tcPr>
            <w:tcW w:w="1240" w:type="dxa"/>
            <w:vAlign w:val="bottom"/>
            <w:tcBorders>
              <w:bottom w:val="single" w:sz="8" w:color="auto"/>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7/2/2027</w:t>
            </w:r>
          </w:p>
        </w:tc>
        <w:tc>
          <w:tcPr>
            <w:tcW w:w="160" w:type="dxa"/>
            <w:vAlign w:val="bottom"/>
            <w:tcBorders>
              <w:bottom w:val="single" w:sz="8" w:color="auto"/>
            </w:tcBorders>
            <w:shd w:val="clear" w:color="auto" w:fill="CCEDFF"/>
          </w:tcPr>
          <w:p>
            <w:pPr>
              <w:spacing w:after="0"/>
              <w:rPr>
                <w:sz w:val="21"/>
                <w:szCs w:val="21"/>
                <w:color w:val="auto"/>
              </w:rPr>
            </w:pPr>
          </w:p>
        </w:tc>
        <w:tc>
          <w:tcPr>
            <w:tcW w:w="1040" w:type="dxa"/>
            <w:vAlign w:val="bottom"/>
            <w:tcBorders>
              <w:bottom w:val="single" w:sz="8" w:color="auto"/>
            </w:tcBorders>
            <w:shd w:val="clear" w:color="auto" w:fill="CCEDFF"/>
          </w:tcPr>
          <w:p>
            <w:pPr>
              <w:spacing w:after="0"/>
              <w:rPr>
                <w:sz w:val="21"/>
                <w:szCs w:val="21"/>
                <w:color w:val="auto"/>
              </w:rPr>
            </w:pPr>
          </w:p>
        </w:tc>
        <w:tc>
          <w:tcPr>
            <w:tcW w:w="120" w:type="dxa"/>
            <w:vAlign w:val="bottom"/>
            <w:tcBorders>
              <w:bottom w:val="single" w:sz="8" w:color="auto"/>
              <w:right w:val="single" w:sz="8" w:color="auto"/>
            </w:tcBorders>
            <w:shd w:val="clear" w:color="auto" w:fill="CCEDFF"/>
          </w:tcPr>
          <w:p>
            <w:pPr>
              <w:spacing w:after="0"/>
              <w:rPr>
                <w:sz w:val="21"/>
                <w:szCs w:val="21"/>
                <w:color w:val="auto"/>
              </w:rPr>
            </w:pPr>
          </w:p>
        </w:tc>
        <w:tc>
          <w:tcPr>
            <w:tcW w:w="200" w:type="dxa"/>
            <w:vAlign w:val="bottom"/>
            <w:tcBorders>
              <w:bottom w:val="single" w:sz="8" w:color="auto"/>
            </w:tcBorders>
            <w:shd w:val="clear" w:color="auto" w:fill="CCEDFF"/>
          </w:tcPr>
          <w:p>
            <w:pPr>
              <w:spacing w:after="0"/>
              <w:rPr>
                <w:sz w:val="21"/>
                <w:szCs w:val="21"/>
                <w:color w:val="auto"/>
              </w:rPr>
            </w:pPr>
          </w:p>
        </w:tc>
        <w:tc>
          <w:tcPr>
            <w:tcW w:w="920" w:type="dxa"/>
            <w:vAlign w:val="bottom"/>
            <w:tcBorders>
              <w:bottom w:val="single" w:sz="8" w:color="auto"/>
              <w:right w:val="single" w:sz="8" w:color="auto"/>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2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20" w:type="dxa"/>
            <w:vAlign w:val="bottom"/>
            <w:tcBorders>
              <w:right w:val="single" w:sz="8" w:color="auto"/>
            </w:tcBorders>
            <w:shd w:val="clear" w:color="auto" w:fill="CCEEFF"/>
          </w:tcPr>
          <w:p>
            <w:pPr>
              <w:spacing w:after="0"/>
              <w:rPr>
                <w:sz w:val="21"/>
                <w:szCs w:val="21"/>
                <w:color w:val="auto"/>
              </w:rPr>
            </w:pPr>
          </w:p>
        </w:tc>
        <w:tc>
          <w:tcPr>
            <w:tcW w:w="124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6/24/2023</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660" w:type="dxa"/>
            <w:vAlign w:val="bottom"/>
            <w:tcBorders>
              <w:left w:val="single" w:sz="8" w:color="auto"/>
              <w:right w:val="single" w:sz="8" w:color="auto"/>
            </w:tcBorders>
            <w:shd w:val="clear" w:color="auto" w:fill="CCEEFF"/>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6/30/2023</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6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Breaux B.</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Borders>
              <w:right w:val="single" w:sz="8" w:color="auto"/>
            </w:tcBorders>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tcBorders>
              <w:right w:val="single" w:sz="8" w:color="auto"/>
            </w:tcBorders>
            <w:shd w:val="clear" w:color="auto" w:fill="CCEEFF"/>
          </w:tcPr>
          <w:p>
            <w:pPr>
              <w:spacing w:after="0"/>
              <w:rPr>
                <w:sz w:val="21"/>
                <w:szCs w:val="21"/>
                <w:color w:val="auto"/>
              </w:rPr>
            </w:pPr>
          </w:p>
        </w:tc>
        <w:tc>
          <w:tcPr>
            <w:tcW w:w="124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6/30/2024</w:t>
            </w:r>
          </w:p>
        </w:tc>
        <w:tc>
          <w:tcPr>
            <w:tcW w:w="16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8"/>
              </w:rPr>
              <w:t>6,666</w:t>
            </w:r>
          </w:p>
        </w:tc>
        <w:tc>
          <w:tcPr>
            <w:tcW w:w="120" w:type="dxa"/>
            <w:vAlign w:val="bottom"/>
            <w:tcBorders>
              <w:right w:val="single" w:sz="8" w:color="auto"/>
            </w:tcBorders>
            <w:shd w:val="clear" w:color="auto" w:fill="CCEEFF"/>
          </w:tcPr>
          <w:p>
            <w:pPr>
              <w:spacing w:after="0"/>
              <w:rPr>
                <w:sz w:val="21"/>
                <w:szCs w:val="21"/>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335,300</w:t>
            </w:r>
          </w:p>
        </w:tc>
        <w:tc>
          <w:tcPr>
            <w:tcW w:w="0" w:type="dxa"/>
            <w:vAlign w:val="bottom"/>
          </w:tcPr>
          <w:p>
            <w:pPr>
              <w:spacing w:after="0"/>
              <w:rPr>
                <w:sz w:val="1"/>
                <w:szCs w:val="1"/>
                <w:color w:val="auto"/>
              </w:rPr>
            </w:pPr>
          </w:p>
        </w:tc>
      </w:tr>
      <w:tr>
        <w:trPr>
          <w:trHeight w:val="108"/>
        </w:trPr>
        <w:tc>
          <w:tcPr>
            <w:tcW w:w="1660" w:type="dxa"/>
            <w:vAlign w:val="bottom"/>
            <w:tcBorders>
              <w:left w:val="single" w:sz="8" w:color="auto"/>
              <w:right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Castleman</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Borders>
              <w:right w:val="single" w:sz="8" w:color="auto"/>
            </w:tcBorders>
          </w:tcPr>
          <w:p>
            <w:pPr>
              <w:spacing w:after="0"/>
              <w:rPr>
                <w:sz w:val="9"/>
                <w:szCs w:val="9"/>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right w:val="single" w:sz="8" w:color="auto"/>
            </w:tcBorders>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6/30/2025</w:t>
            </w:r>
          </w:p>
        </w:tc>
        <w:tc>
          <w:tcPr>
            <w:tcW w:w="160" w:type="dxa"/>
            <w:vAlign w:val="bottom"/>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9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60" w:type="dxa"/>
            <w:vAlign w:val="bottom"/>
            <w:tcBorders>
              <w:left w:val="single" w:sz="8" w:color="auto"/>
              <w:right w:val="single" w:sz="8" w:color="auto"/>
            </w:tcBorders>
            <w:vMerge w:val="continue"/>
            <w:shd w:val="clear" w:color="auto" w:fill="CCEEFF"/>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1660" w:type="dxa"/>
            <w:vAlign w:val="bottom"/>
            <w:tcBorders>
              <w:left w:val="single" w:sz="8" w:color="auto"/>
              <w:right w:val="single" w:sz="8" w:color="auto"/>
            </w:tcBorders>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Borders>
              <w:right w:val="single" w:sz="8" w:color="auto"/>
            </w:tcBorders>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20" w:type="dxa"/>
            <w:vAlign w:val="bottom"/>
            <w:tcBorders>
              <w:right w:val="single" w:sz="8" w:color="auto"/>
            </w:tcBorders>
            <w:shd w:val="clear" w:color="auto" w:fill="CCEEFF"/>
          </w:tcPr>
          <w:p>
            <w:pPr>
              <w:spacing w:after="0"/>
              <w:rPr>
                <w:sz w:val="21"/>
                <w:szCs w:val="21"/>
                <w:color w:val="auto"/>
              </w:rPr>
            </w:pPr>
          </w:p>
        </w:tc>
        <w:tc>
          <w:tcPr>
            <w:tcW w:w="124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6/30/2026</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6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7/2/2027</w:t>
            </w: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right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660" w:type="dxa"/>
            <w:vAlign w:val="bottom"/>
            <w:tcBorders>
              <w:left w:val="single" w:sz="8" w:color="auto"/>
              <w:right w:val="single" w:sz="8" w:color="auto"/>
            </w:tcBorders>
            <w:shd w:val="clear" w:color="auto" w:fill="CCEDFF"/>
          </w:tcPr>
          <w:p>
            <w:pPr>
              <w:spacing w:after="0"/>
              <w:rPr>
                <w:sz w:val="20"/>
                <w:szCs w:val="20"/>
                <w:color w:val="auto"/>
              </w:rPr>
            </w:pPr>
          </w:p>
        </w:tc>
        <w:tc>
          <w:tcPr>
            <w:tcW w:w="180" w:type="dxa"/>
            <w:vAlign w:val="bottom"/>
            <w:shd w:val="clear" w:color="auto" w:fill="CCEDFF"/>
          </w:tcPr>
          <w:p>
            <w:pPr>
              <w:spacing w:after="0"/>
              <w:rPr>
                <w:sz w:val="20"/>
                <w:szCs w:val="20"/>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Borders>
              <w:right w:val="single" w:sz="8" w:color="auto"/>
            </w:tcBorders>
            <w:shd w:val="clear" w:color="auto" w:fill="CCEDFF"/>
          </w:tcPr>
          <w:p>
            <w:pPr>
              <w:spacing w:after="0"/>
              <w:rPr>
                <w:sz w:val="20"/>
                <w:szCs w:val="20"/>
                <w:color w:val="auto"/>
              </w:rPr>
            </w:pPr>
          </w:p>
        </w:tc>
        <w:tc>
          <w:tcPr>
            <w:tcW w:w="124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right w:val="single" w:sz="8" w:color="auto"/>
            </w:tcBorders>
            <w:shd w:val="clear" w:color="auto" w:fill="CCEDFF"/>
          </w:tcPr>
          <w:p>
            <w:pPr>
              <w:spacing w:after="0"/>
              <w:rPr>
                <w:sz w:val="20"/>
                <w:szCs w:val="20"/>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tcBorders>
              <w:right w:val="single" w:sz="8" w:color="auto"/>
            </w:tcBorders>
            <w:shd w:val="clear" w:color="auto" w:fill="CCEDFF"/>
          </w:tcPr>
          <w:p>
            <w:pPr>
              <w:spacing w:after="0"/>
              <w:rPr>
                <w:sz w:val="20"/>
                <w:szCs w:val="20"/>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6/30/2024</w:t>
            </w:r>
          </w:p>
        </w:tc>
        <w:tc>
          <w:tcPr>
            <w:tcW w:w="160" w:type="dxa"/>
            <w:vAlign w:val="bottom"/>
            <w:shd w:val="clear" w:color="auto" w:fill="CCEDFF"/>
          </w:tcPr>
          <w:p>
            <w:pPr>
              <w:spacing w:after="0"/>
              <w:rPr>
                <w:sz w:val="20"/>
                <w:szCs w:val="20"/>
                <w:color w:val="auto"/>
              </w:rPr>
            </w:pPr>
          </w:p>
        </w:tc>
        <w:tc>
          <w:tcPr>
            <w:tcW w:w="1040" w:type="dxa"/>
            <w:vAlign w:val="bottom"/>
            <w:shd w:val="clear" w:color="auto" w:fill="CCEDFF"/>
          </w:tcPr>
          <w:p>
            <w:pPr>
              <w:spacing w:after="0"/>
              <w:rPr>
                <w:sz w:val="20"/>
                <w:szCs w:val="20"/>
                <w:color w:val="auto"/>
              </w:rPr>
            </w:pPr>
          </w:p>
        </w:tc>
        <w:tc>
          <w:tcPr>
            <w:tcW w:w="120" w:type="dxa"/>
            <w:vAlign w:val="bottom"/>
            <w:tcBorders>
              <w:right w:val="single" w:sz="8" w:color="auto"/>
            </w:tcBorders>
            <w:shd w:val="clear" w:color="auto" w:fill="CCEDFF"/>
          </w:tcPr>
          <w:p>
            <w:pPr>
              <w:spacing w:after="0"/>
              <w:rPr>
                <w:sz w:val="20"/>
                <w:szCs w:val="20"/>
                <w:color w:val="auto"/>
              </w:rPr>
            </w:pPr>
          </w:p>
        </w:tc>
        <w:tc>
          <w:tcPr>
            <w:tcW w:w="200" w:type="dxa"/>
            <w:vAlign w:val="bottom"/>
            <w:shd w:val="clear" w:color="auto" w:fill="CCEDFF"/>
          </w:tcPr>
          <w:p>
            <w:pPr>
              <w:spacing w:after="0"/>
              <w:rPr>
                <w:sz w:val="20"/>
                <w:szCs w:val="20"/>
                <w:color w:val="auto"/>
              </w:rPr>
            </w:pPr>
          </w:p>
        </w:tc>
        <w:tc>
          <w:tcPr>
            <w:tcW w:w="920" w:type="dxa"/>
            <w:vAlign w:val="bottom"/>
            <w:tcBorders>
              <w:right w:val="single" w:sz="8" w:color="auto"/>
            </w:tcBorders>
            <w:shd w:val="clear" w:color="auto" w:fill="CCED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60" w:type="dxa"/>
            <w:vAlign w:val="bottom"/>
            <w:tcBorders>
              <w:left w:val="single" w:sz="8" w:color="auto"/>
              <w:right w:val="single" w:sz="8" w:color="auto"/>
            </w:tcBorders>
            <w:vMerge w:val="restart"/>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Joseph Klein, III</w:t>
            </w:r>
          </w:p>
        </w:tc>
        <w:tc>
          <w:tcPr>
            <w:tcW w:w="180" w:type="dxa"/>
            <w:vAlign w:val="bottom"/>
            <w:shd w:val="clear" w:color="auto" w:fill="CCEDFF"/>
          </w:tcPr>
          <w:p>
            <w:pPr>
              <w:spacing w:after="0"/>
              <w:rPr>
                <w:sz w:val="20"/>
                <w:szCs w:val="20"/>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Borders>
              <w:right w:val="single" w:sz="8" w:color="auto"/>
            </w:tcBorders>
            <w:shd w:val="clear" w:color="auto" w:fill="CCEDFF"/>
          </w:tcPr>
          <w:p>
            <w:pPr>
              <w:spacing w:after="0"/>
              <w:rPr>
                <w:sz w:val="20"/>
                <w:szCs w:val="20"/>
                <w:color w:val="auto"/>
              </w:rPr>
            </w:pPr>
          </w:p>
        </w:tc>
        <w:tc>
          <w:tcPr>
            <w:tcW w:w="124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right w:val="single" w:sz="8" w:color="auto"/>
            </w:tcBorders>
            <w:shd w:val="clear" w:color="auto" w:fill="CCEDFF"/>
          </w:tcPr>
          <w:p>
            <w:pPr>
              <w:spacing w:after="0"/>
              <w:rPr>
                <w:sz w:val="20"/>
                <w:szCs w:val="20"/>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20" w:type="dxa"/>
            <w:vAlign w:val="bottom"/>
            <w:tcBorders>
              <w:right w:val="single" w:sz="8" w:color="auto"/>
            </w:tcBorders>
            <w:shd w:val="clear" w:color="auto" w:fill="CCEDFF"/>
          </w:tcPr>
          <w:p>
            <w:pPr>
              <w:spacing w:after="0"/>
              <w:rPr>
                <w:sz w:val="20"/>
                <w:szCs w:val="20"/>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6/30/2025</w:t>
            </w:r>
          </w:p>
        </w:tc>
        <w:tc>
          <w:tcPr>
            <w:tcW w:w="160" w:type="dxa"/>
            <w:vAlign w:val="bottom"/>
            <w:shd w:val="clear" w:color="auto" w:fill="CCEDFF"/>
          </w:tcPr>
          <w:p>
            <w:pPr>
              <w:spacing w:after="0"/>
              <w:rPr>
                <w:sz w:val="20"/>
                <w:szCs w:val="20"/>
                <w:color w:val="auto"/>
              </w:rPr>
            </w:pPr>
          </w:p>
        </w:tc>
        <w:tc>
          <w:tcPr>
            <w:tcW w:w="1040" w:type="dxa"/>
            <w:vAlign w:val="bottom"/>
            <w:vMerge w:val="restart"/>
            <w:shd w:val="clear" w:color="auto" w:fill="CCEDFF"/>
          </w:tcPr>
          <w:p>
            <w:pPr>
              <w:ind w:left="620"/>
              <w:spacing w:after="0"/>
              <w:rPr>
                <w:sz w:val="20"/>
                <w:szCs w:val="20"/>
                <w:color w:val="auto"/>
              </w:rPr>
            </w:pPr>
            <w:r>
              <w:rPr>
                <w:rFonts w:ascii="Times New Roman" w:cs="Times New Roman" w:eastAsia="Times New Roman" w:hAnsi="Times New Roman"/>
                <w:sz w:val="18"/>
                <w:szCs w:val="18"/>
                <w:color w:val="auto"/>
                <w:w w:val="98"/>
              </w:rPr>
              <w:t>6,666</w:t>
            </w:r>
          </w:p>
        </w:tc>
        <w:tc>
          <w:tcPr>
            <w:tcW w:w="120" w:type="dxa"/>
            <w:vAlign w:val="bottom"/>
            <w:tcBorders>
              <w:right w:val="single" w:sz="8" w:color="auto"/>
            </w:tcBorders>
            <w:shd w:val="clear" w:color="auto" w:fill="CCEDFF"/>
          </w:tcPr>
          <w:p>
            <w:pPr>
              <w:spacing w:after="0"/>
              <w:rPr>
                <w:sz w:val="20"/>
                <w:szCs w:val="20"/>
                <w:color w:val="auto"/>
              </w:rPr>
            </w:pPr>
          </w:p>
        </w:tc>
        <w:tc>
          <w:tcPr>
            <w:tcW w:w="20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vMerge w:val="restart"/>
            <w:shd w:val="clear" w:color="auto" w:fill="CCEDFF"/>
          </w:tcPr>
          <w:p>
            <w:pPr>
              <w:jc w:val="right"/>
              <w:ind w:right="42"/>
              <w:spacing w:after="0"/>
              <w:rPr>
                <w:sz w:val="20"/>
                <w:szCs w:val="20"/>
                <w:color w:val="auto"/>
              </w:rPr>
            </w:pPr>
            <w:r>
              <w:rPr>
                <w:rFonts w:ascii="Times New Roman" w:cs="Times New Roman" w:eastAsia="Times New Roman" w:hAnsi="Times New Roman"/>
                <w:sz w:val="18"/>
                <w:szCs w:val="18"/>
                <w:color w:val="auto"/>
              </w:rPr>
              <w:t>335,300</w:t>
            </w:r>
          </w:p>
        </w:tc>
        <w:tc>
          <w:tcPr>
            <w:tcW w:w="0" w:type="dxa"/>
            <w:vAlign w:val="bottom"/>
          </w:tcPr>
          <w:p>
            <w:pPr>
              <w:spacing w:after="0"/>
              <w:rPr>
                <w:sz w:val="1"/>
                <w:szCs w:val="1"/>
                <w:color w:val="auto"/>
              </w:rPr>
            </w:pPr>
          </w:p>
        </w:tc>
      </w:tr>
      <w:tr>
        <w:trPr>
          <w:trHeight w:val="122"/>
        </w:trPr>
        <w:tc>
          <w:tcPr>
            <w:tcW w:w="1660" w:type="dxa"/>
            <w:vAlign w:val="bottom"/>
            <w:tcBorders>
              <w:left w:val="single" w:sz="8" w:color="auto"/>
              <w:right w:val="single" w:sz="8" w:color="auto"/>
            </w:tcBorders>
            <w:vMerge w:val="continue"/>
            <w:shd w:val="clear" w:color="auto" w:fill="CCEDFF"/>
          </w:tcPr>
          <w:p>
            <w:pPr>
              <w:spacing w:after="0"/>
              <w:rPr>
                <w:sz w:val="10"/>
                <w:szCs w:val="10"/>
                <w:color w:val="auto"/>
              </w:rPr>
            </w:pPr>
          </w:p>
        </w:tc>
        <w:tc>
          <w:tcPr>
            <w:tcW w:w="180" w:type="dxa"/>
            <w:vAlign w:val="bottom"/>
            <w:shd w:val="clear" w:color="auto" w:fill="CCEDFF"/>
          </w:tcPr>
          <w:p>
            <w:pPr>
              <w:spacing w:after="0"/>
              <w:rPr>
                <w:sz w:val="10"/>
                <w:szCs w:val="10"/>
                <w:color w:val="auto"/>
              </w:rPr>
            </w:pPr>
          </w:p>
        </w:tc>
        <w:tc>
          <w:tcPr>
            <w:tcW w:w="106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Borders>
              <w:right w:val="single" w:sz="8" w:color="auto"/>
            </w:tcBorders>
            <w:shd w:val="clear" w:color="auto" w:fill="CCEDFF"/>
          </w:tcPr>
          <w:p>
            <w:pPr>
              <w:spacing w:after="0"/>
              <w:rPr>
                <w:sz w:val="10"/>
                <w:szCs w:val="10"/>
                <w:color w:val="auto"/>
              </w:rPr>
            </w:pPr>
          </w:p>
        </w:tc>
        <w:tc>
          <w:tcPr>
            <w:tcW w:w="1240" w:type="dxa"/>
            <w:vAlign w:val="bottom"/>
            <w:gridSpan w:val="2"/>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right w:val="single" w:sz="8" w:color="auto"/>
            </w:tcBorders>
            <w:shd w:val="clear" w:color="auto" w:fill="CCEDFF"/>
          </w:tcPr>
          <w:p>
            <w:pPr>
              <w:spacing w:after="0"/>
              <w:rPr>
                <w:sz w:val="10"/>
                <w:szCs w:val="10"/>
                <w:color w:val="auto"/>
              </w:rPr>
            </w:pPr>
          </w:p>
        </w:tc>
        <w:tc>
          <w:tcPr>
            <w:tcW w:w="18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20" w:type="dxa"/>
            <w:vAlign w:val="bottom"/>
            <w:tcBorders>
              <w:right w:val="single" w:sz="8" w:color="auto"/>
            </w:tcBorders>
            <w:shd w:val="clear" w:color="auto" w:fill="CCEDFF"/>
          </w:tcPr>
          <w:p>
            <w:pPr>
              <w:spacing w:after="0"/>
              <w:rPr>
                <w:sz w:val="10"/>
                <w:szCs w:val="10"/>
                <w:color w:val="auto"/>
              </w:rPr>
            </w:pPr>
          </w:p>
        </w:tc>
        <w:tc>
          <w:tcPr>
            <w:tcW w:w="1240" w:type="dxa"/>
            <w:vAlign w:val="bottom"/>
            <w:tcBorders>
              <w:right w:val="single" w:sz="8" w:color="auto"/>
            </w:tcBorders>
            <w:vMerge w:val="restart"/>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6/30/2026</w:t>
            </w:r>
          </w:p>
        </w:tc>
        <w:tc>
          <w:tcPr>
            <w:tcW w:w="160" w:type="dxa"/>
            <w:vAlign w:val="bottom"/>
            <w:shd w:val="clear" w:color="auto" w:fill="CCEDFF"/>
          </w:tcPr>
          <w:p>
            <w:pPr>
              <w:spacing w:after="0"/>
              <w:rPr>
                <w:sz w:val="10"/>
                <w:szCs w:val="10"/>
                <w:color w:val="auto"/>
              </w:rPr>
            </w:pPr>
          </w:p>
        </w:tc>
        <w:tc>
          <w:tcPr>
            <w:tcW w:w="1040" w:type="dxa"/>
            <w:vAlign w:val="bottom"/>
            <w:vMerge w:val="continue"/>
            <w:shd w:val="clear" w:color="auto" w:fill="CCEDFF"/>
          </w:tcPr>
          <w:p>
            <w:pPr>
              <w:spacing w:after="0"/>
              <w:rPr>
                <w:sz w:val="10"/>
                <w:szCs w:val="10"/>
                <w:color w:val="auto"/>
              </w:rPr>
            </w:pPr>
          </w:p>
        </w:tc>
        <w:tc>
          <w:tcPr>
            <w:tcW w:w="120" w:type="dxa"/>
            <w:vAlign w:val="bottom"/>
            <w:tcBorders>
              <w:right w:val="single" w:sz="8" w:color="auto"/>
            </w:tcBorders>
            <w:shd w:val="clear" w:color="auto" w:fill="CCEDFF"/>
          </w:tcPr>
          <w:p>
            <w:pPr>
              <w:spacing w:after="0"/>
              <w:rPr>
                <w:sz w:val="10"/>
                <w:szCs w:val="10"/>
                <w:color w:val="auto"/>
              </w:rPr>
            </w:pPr>
          </w:p>
        </w:tc>
        <w:tc>
          <w:tcPr>
            <w:tcW w:w="200" w:type="dxa"/>
            <w:vAlign w:val="bottom"/>
            <w:vMerge w:val="continue"/>
            <w:shd w:val="clear" w:color="auto" w:fill="CCEDFF"/>
          </w:tcPr>
          <w:p>
            <w:pPr>
              <w:spacing w:after="0"/>
              <w:rPr>
                <w:sz w:val="10"/>
                <w:szCs w:val="10"/>
                <w:color w:val="auto"/>
              </w:rPr>
            </w:pPr>
          </w:p>
        </w:tc>
        <w:tc>
          <w:tcPr>
            <w:tcW w:w="920" w:type="dxa"/>
            <w:vAlign w:val="bottom"/>
            <w:tcBorders>
              <w:right w:val="single" w:sz="8" w:color="auto"/>
            </w:tcBorders>
            <w:vMerge w:val="continue"/>
            <w:shd w:val="clear" w:color="auto" w:fill="CCED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Borders>
              <w:left w:val="single" w:sz="8" w:color="auto"/>
              <w:right w:val="single" w:sz="8" w:color="auto"/>
            </w:tcBorders>
            <w:shd w:val="clear" w:color="auto" w:fill="CCEDFF"/>
          </w:tcPr>
          <w:p>
            <w:pPr>
              <w:spacing w:after="0"/>
              <w:rPr>
                <w:sz w:val="10"/>
                <w:szCs w:val="10"/>
                <w:color w:val="auto"/>
              </w:rPr>
            </w:pPr>
          </w:p>
        </w:tc>
        <w:tc>
          <w:tcPr>
            <w:tcW w:w="180" w:type="dxa"/>
            <w:vAlign w:val="bottom"/>
            <w:shd w:val="clear" w:color="auto" w:fill="CCEDFF"/>
          </w:tcPr>
          <w:p>
            <w:pPr>
              <w:spacing w:after="0"/>
              <w:rPr>
                <w:sz w:val="10"/>
                <w:szCs w:val="10"/>
                <w:color w:val="auto"/>
              </w:rPr>
            </w:pPr>
          </w:p>
        </w:tc>
        <w:tc>
          <w:tcPr>
            <w:tcW w:w="1060" w:type="dxa"/>
            <w:vAlign w:val="bottom"/>
            <w:vMerge w:val="continue"/>
            <w:shd w:val="clear" w:color="auto" w:fill="CCEDFF"/>
          </w:tcPr>
          <w:p>
            <w:pPr>
              <w:spacing w:after="0"/>
              <w:rPr>
                <w:sz w:val="10"/>
                <w:szCs w:val="10"/>
                <w:color w:val="auto"/>
              </w:rPr>
            </w:pPr>
          </w:p>
        </w:tc>
        <w:tc>
          <w:tcPr>
            <w:tcW w:w="120" w:type="dxa"/>
            <w:vAlign w:val="bottom"/>
            <w:tcBorders>
              <w:right w:val="single" w:sz="8" w:color="auto"/>
            </w:tcBorders>
            <w:shd w:val="clear" w:color="auto" w:fill="CCEDFF"/>
          </w:tcPr>
          <w:p>
            <w:pPr>
              <w:spacing w:after="0"/>
              <w:rPr>
                <w:sz w:val="10"/>
                <w:szCs w:val="10"/>
                <w:color w:val="auto"/>
              </w:rPr>
            </w:pPr>
          </w:p>
        </w:tc>
        <w:tc>
          <w:tcPr>
            <w:tcW w:w="1240" w:type="dxa"/>
            <w:vAlign w:val="bottom"/>
            <w:gridSpan w:val="2"/>
            <w:vMerge w:val="continue"/>
            <w:shd w:val="clear" w:color="auto" w:fill="CCEDFF"/>
          </w:tcPr>
          <w:p>
            <w:pPr>
              <w:spacing w:after="0"/>
              <w:rPr>
                <w:sz w:val="10"/>
                <w:szCs w:val="10"/>
                <w:color w:val="auto"/>
              </w:rPr>
            </w:pPr>
          </w:p>
        </w:tc>
        <w:tc>
          <w:tcPr>
            <w:tcW w:w="100" w:type="dxa"/>
            <w:vAlign w:val="bottom"/>
            <w:tcBorders>
              <w:right w:val="single" w:sz="8" w:color="auto"/>
            </w:tcBorders>
            <w:shd w:val="clear" w:color="auto" w:fill="CCEDFF"/>
          </w:tcPr>
          <w:p>
            <w:pPr>
              <w:spacing w:after="0"/>
              <w:rPr>
                <w:sz w:val="10"/>
                <w:szCs w:val="10"/>
                <w:color w:val="auto"/>
              </w:rPr>
            </w:pPr>
          </w:p>
        </w:tc>
        <w:tc>
          <w:tcPr>
            <w:tcW w:w="180" w:type="dxa"/>
            <w:vAlign w:val="bottom"/>
            <w:vMerge w:val="continue"/>
            <w:shd w:val="clear" w:color="auto" w:fill="CCEDFF"/>
          </w:tcPr>
          <w:p>
            <w:pPr>
              <w:spacing w:after="0"/>
              <w:rPr>
                <w:sz w:val="10"/>
                <w:szCs w:val="10"/>
                <w:color w:val="auto"/>
              </w:rPr>
            </w:pPr>
          </w:p>
        </w:tc>
        <w:tc>
          <w:tcPr>
            <w:tcW w:w="1220" w:type="dxa"/>
            <w:vAlign w:val="bottom"/>
            <w:vMerge w:val="continue"/>
            <w:shd w:val="clear" w:color="auto" w:fill="CCEDFF"/>
          </w:tcPr>
          <w:p>
            <w:pPr>
              <w:spacing w:after="0"/>
              <w:rPr>
                <w:sz w:val="10"/>
                <w:szCs w:val="10"/>
                <w:color w:val="auto"/>
              </w:rPr>
            </w:pPr>
          </w:p>
        </w:tc>
        <w:tc>
          <w:tcPr>
            <w:tcW w:w="120" w:type="dxa"/>
            <w:vAlign w:val="bottom"/>
            <w:tcBorders>
              <w:right w:val="single" w:sz="8" w:color="auto"/>
            </w:tcBorders>
            <w:shd w:val="clear" w:color="auto" w:fill="CCEDFF"/>
          </w:tcPr>
          <w:p>
            <w:pPr>
              <w:spacing w:after="0"/>
              <w:rPr>
                <w:sz w:val="10"/>
                <w:szCs w:val="10"/>
                <w:color w:val="auto"/>
              </w:rPr>
            </w:pPr>
          </w:p>
        </w:tc>
        <w:tc>
          <w:tcPr>
            <w:tcW w:w="1240" w:type="dxa"/>
            <w:vAlign w:val="bottom"/>
            <w:tcBorders>
              <w:right w:val="single" w:sz="8" w:color="auto"/>
            </w:tcBorders>
            <w:vMerge w:val="continue"/>
            <w:shd w:val="clear" w:color="auto" w:fill="CCEDFF"/>
          </w:tcPr>
          <w:p>
            <w:pPr>
              <w:spacing w:after="0"/>
              <w:rPr>
                <w:sz w:val="10"/>
                <w:szCs w:val="10"/>
                <w:color w:val="auto"/>
              </w:rPr>
            </w:pPr>
          </w:p>
        </w:tc>
        <w:tc>
          <w:tcPr>
            <w:tcW w:w="160" w:type="dxa"/>
            <w:vAlign w:val="bottom"/>
            <w:shd w:val="clear" w:color="auto" w:fill="CCEDFF"/>
          </w:tcPr>
          <w:p>
            <w:pPr>
              <w:spacing w:after="0"/>
              <w:rPr>
                <w:sz w:val="10"/>
                <w:szCs w:val="10"/>
                <w:color w:val="auto"/>
              </w:rPr>
            </w:pPr>
          </w:p>
        </w:tc>
        <w:tc>
          <w:tcPr>
            <w:tcW w:w="1040" w:type="dxa"/>
            <w:vAlign w:val="bottom"/>
            <w:shd w:val="clear" w:color="auto" w:fill="CCEDFF"/>
          </w:tcPr>
          <w:p>
            <w:pPr>
              <w:spacing w:after="0"/>
              <w:rPr>
                <w:sz w:val="10"/>
                <w:szCs w:val="10"/>
                <w:color w:val="auto"/>
              </w:rPr>
            </w:pPr>
          </w:p>
        </w:tc>
        <w:tc>
          <w:tcPr>
            <w:tcW w:w="120" w:type="dxa"/>
            <w:vAlign w:val="bottom"/>
            <w:tcBorders>
              <w:right w:val="single" w:sz="8" w:color="auto"/>
            </w:tcBorders>
            <w:shd w:val="clear" w:color="auto" w:fill="CCEDFF"/>
          </w:tcPr>
          <w:p>
            <w:pPr>
              <w:spacing w:after="0"/>
              <w:rPr>
                <w:sz w:val="10"/>
                <w:szCs w:val="10"/>
                <w:color w:val="auto"/>
              </w:rPr>
            </w:pPr>
          </w:p>
        </w:tc>
        <w:tc>
          <w:tcPr>
            <w:tcW w:w="200" w:type="dxa"/>
            <w:vAlign w:val="bottom"/>
            <w:shd w:val="clear" w:color="auto" w:fill="CCEDFF"/>
          </w:tcPr>
          <w:p>
            <w:pPr>
              <w:spacing w:after="0"/>
              <w:rPr>
                <w:sz w:val="10"/>
                <w:szCs w:val="10"/>
                <w:color w:val="auto"/>
              </w:rPr>
            </w:pPr>
          </w:p>
        </w:tc>
        <w:tc>
          <w:tcPr>
            <w:tcW w:w="920" w:type="dxa"/>
            <w:vAlign w:val="bottom"/>
            <w:tcBorders>
              <w:right w:val="single" w:sz="8" w:color="auto"/>
            </w:tcBorders>
            <w:shd w:val="clear" w:color="auto" w:fill="CCEDFF"/>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shd w:val="clear" w:color="auto" w:fill="CCEDFF"/>
          </w:tcPr>
          <w:p>
            <w:pPr>
              <w:spacing w:after="0"/>
              <w:rPr>
                <w:sz w:val="21"/>
                <w:szCs w:val="21"/>
                <w:color w:val="auto"/>
              </w:rPr>
            </w:pPr>
          </w:p>
        </w:tc>
        <w:tc>
          <w:tcPr>
            <w:tcW w:w="180" w:type="dxa"/>
            <w:vAlign w:val="bottom"/>
            <w:tcBorders>
              <w:bottom w:val="single" w:sz="8" w:color="auto"/>
            </w:tcBorders>
            <w:shd w:val="clear" w:color="auto" w:fill="CCEDFF"/>
          </w:tcPr>
          <w:p>
            <w:pPr>
              <w:spacing w:after="0"/>
              <w:rPr>
                <w:sz w:val="21"/>
                <w:szCs w:val="21"/>
                <w:color w:val="auto"/>
              </w:rPr>
            </w:pP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shd w:val="clear" w:color="auto" w:fill="CCEDFF"/>
          </w:tcPr>
          <w:p>
            <w:pPr>
              <w:spacing w:after="0"/>
              <w:rPr>
                <w:sz w:val="21"/>
                <w:szCs w:val="21"/>
                <w:color w:val="auto"/>
              </w:rPr>
            </w:pPr>
          </w:p>
        </w:tc>
        <w:tc>
          <w:tcPr>
            <w:tcW w:w="1240" w:type="dxa"/>
            <w:vAlign w:val="bottom"/>
            <w:tcBorders>
              <w:bottom w:val="single" w:sz="8" w:color="auto"/>
            </w:tcBorders>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Borders>
              <w:bottom w:val="single" w:sz="8" w:color="auto"/>
              <w:right w:val="single" w:sz="8" w:color="auto"/>
            </w:tcBorders>
            <w:shd w:val="clear" w:color="auto" w:fill="CCEDFF"/>
          </w:tcPr>
          <w:p>
            <w:pPr>
              <w:spacing w:after="0"/>
              <w:rPr>
                <w:sz w:val="21"/>
                <w:szCs w:val="21"/>
                <w:color w:val="auto"/>
              </w:rPr>
            </w:pPr>
          </w:p>
        </w:tc>
        <w:tc>
          <w:tcPr>
            <w:tcW w:w="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20" w:type="dxa"/>
            <w:vAlign w:val="bottom"/>
            <w:tcBorders>
              <w:bottom w:val="single" w:sz="8" w:color="auto"/>
              <w:right w:val="single" w:sz="8" w:color="auto"/>
            </w:tcBorders>
            <w:shd w:val="clear" w:color="auto" w:fill="CCEDFF"/>
          </w:tcPr>
          <w:p>
            <w:pPr>
              <w:spacing w:after="0"/>
              <w:rPr>
                <w:sz w:val="21"/>
                <w:szCs w:val="21"/>
                <w:color w:val="auto"/>
              </w:rPr>
            </w:pPr>
          </w:p>
        </w:tc>
        <w:tc>
          <w:tcPr>
            <w:tcW w:w="1240" w:type="dxa"/>
            <w:vAlign w:val="bottom"/>
            <w:tcBorders>
              <w:bottom w:val="single" w:sz="8" w:color="auto"/>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7/2/2027</w:t>
            </w:r>
          </w:p>
        </w:tc>
        <w:tc>
          <w:tcPr>
            <w:tcW w:w="160" w:type="dxa"/>
            <w:vAlign w:val="bottom"/>
            <w:tcBorders>
              <w:bottom w:val="single" w:sz="8" w:color="auto"/>
            </w:tcBorders>
            <w:shd w:val="clear" w:color="auto" w:fill="CCEDFF"/>
          </w:tcPr>
          <w:p>
            <w:pPr>
              <w:spacing w:after="0"/>
              <w:rPr>
                <w:sz w:val="21"/>
                <w:szCs w:val="21"/>
                <w:color w:val="auto"/>
              </w:rPr>
            </w:pPr>
          </w:p>
        </w:tc>
        <w:tc>
          <w:tcPr>
            <w:tcW w:w="1040" w:type="dxa"/>
            <w:vAlign w:val="bottom"/>
            <w:tcBorders>
              <w:bottom w:val="single" w:sz="8" w:color="auto"/>
            </w:tcBorders>
            <w:shd w:val="clear" w:color="auto" w:fill="CCEDFF"/>
          </w:tcPr>
          <w:p>
            <w:pPr>
              <w:spacing w:after="0"/>
              <w:rPr>
                <w:sz w:val="21"/>
                <w:szCs w:val="21"/>
                <w:color w:val="auto"/>
              </w:rPr>
            </w:pPr>
          </w:p>
        </w:tc>
        <w:tc>
          <w:tcPr>
            <w:tcW w:w="120" w:type="dxa"/>
            <w:vAlign w:val="bottom"/>
            <w:tcBorders>
              <w:bottom w:val="single" w:sz="8" w:color="auto"/>
              <w:right w:val="single" w:sz="8" w:color="auto"/>
            </w:tcBorders>
            <w:shd w:val="clear" w:color="auto" w:fill="CCEDFF"/>
          </w:tcPr>
          <w:p>
            <w:pPr>
              <w:spacing w:after="0"/>
              <w:rPr>
                <w:sz w:val="21"/>
                <w:szCs w:val="21"/>
                <w:color w:val="auto"/>
              </w:rPr>
            </w:pPr>
          </w:p>
        </w:tc>
        <w:tc>
          <w:tcPr>
            <w:tcW w:w="200" w:type="dxa"/>
            <w:vAlign w:val="bottom"/>
            <w:tcBorders>
              <w:bottom w:val="single" w:sz="8" w:color="auto"/>
            </w:tcBorders>
            <w:shd w:val="clear" w:color="auto" w:fill="CCEDFF"/>
          </w:tcPr>
          <w:p>
            <w:pPr>
              <w:spacing w:after="0"/>
              <w:rPr>
                <w:sz w:val="21"/>
                <w:szCs w:val="21"/>
                <w:color w:val="auto"/>
              </w:rPr>
            </w:pPr>
          </w:p>
        </w:tc>
        <w:tc>
          <w:tcPr>
            <w:tcW w:w="920" w:type="dxa"/>
            <w:vAlign w:val="bottom"/>
            <w:tcBorders>
              <w:bottom w:val="single" w:sz="8" w:color="auto"/>
              <w:right w:val="single" w:sz="8" w:color="auto"/>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16,875</w:t>
            </w:r>
          </w:p>
        </w:tc>
        <w:tc>
          <w:tcPr>
            <w:tcW w:w="120" w:type="dxa"/>
            <w:vAlign w:val="bottom"/>
            <w:tcBorders>
              <w:right w:val="single" w:sz="8" w:color="auto"/>
            </w:tcBorders>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20" w:type="dxa"/>
            <w:vAlign w:val="bottom"/>
            <w:tcBorders>
              <w:right w:val="single" w:sz="8" w:color="auto"/>
            </w:tcBorders>
            <w:shd w:val="clear" w:color="auto" w:fill="CCEEFF"/>
          </w:tcPr>
          <w:p>
            <w:pPr>
              <w:spacing w:after="0"/>
              <w:rPr>
                <w:sz w:val="21"/>
                <w:szCs w:val="21"/>
                <w:color w:val="auto"/>
              </w:rPr>
            </w:pPr>
          </w:p>
        </w:tc>
        <w:tc>
          <w:tcPr>
            <w:tcW w:w="124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2/2/2024</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60" w:type="dxa"/>
            <w:vAlign w:val="bottom"/>
            <w:tcBorders>
              <w:left w:val="single" w:sz="8" w:color="auto"/>
              <w:right w:val="single" w:sz="8" w:color="auto"/>
            </w:tcBorders>
            <w:shd w:val="clear" w:color="auto" w:fill="CCEEFF"/>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Borders>
              <w:right w:val="single" w:sz="8" w:color="auto"/>
            </w:tcBorders>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right w:val="single" w:sz="8" w:color="auto"/>
            </w:tcBorders>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6/30/2024</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6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Joseph Loscalzo</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Borders>
              <w:right w:val="single" w:sz="8" w:color="auto"/>
            </w:tcBorders>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20" w:type="dxa"/>
            <w:vAlign w:val="bottom"/>
            <w:tcBorders>
              <w:right w:val="single" w:sz="8" w:color="auto"/>
            </w:tcBorders>
            <w:shd w:val="clear" w:color="auto" w:fill="CCEEFF"/>
          </w:tcPr>
          <w:p>
            <w:pPr>
              <w:spacing w:after="0"/>
              <w:rPr>
                <w:sz w:val="21"/>
                <w:szCs w:val="21"/>
                <w:color w:val="auto"/>
              </w:rPr>
            </w:pPr>
          </w:p>
        </w:tc>
        <w:tc>
          <w:tcPr>
            <w:tcW w:w="124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6/30/2025</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8"/>
              </w:rPr>
              <w:t>7,603</w:t>
            </w:r>
          </w:p>
        </w:tc>
        <w:tc>
          <w:tcPr>
            <w:tcW w:w="120" w:type="dxa"/>
            <w:vAlign w:val="bottom"/>
            <w:tcBorders>
              <w:right w:val="single" w:sz="8" w:color="auto"/>
            </w:tcBorders>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382,431</w:t>
            </w:r>
          </w:p>
        </w:tc>
        <w:tc>
          <w:tcPr>
            <w:tcW w:w="0" w:type="dxa"/>
            <w:vAlign w:val="bottom"/>
          </w:tcPr>
          <w:p>
            <w:pPr>
              <w:spacing w:after="0"/>
              <w:rPr>
                <w:sz w:val="1"/>
                <w:szCs w:val="1"/>
                <w:color w:val="auto"/>
              </w:rPr>
            </w:pPr>
          </w:p>
        </w:tc>
      </w:tr>
      <w:tr>
        <w:trPr>
          <w:trHeight w:val="239"/>
        </w:trPr>
        <w:tc>
          <w:tcPr>
            <w:tcW w:w="1660" w:type="dxa"/>
            <w:vAlign w:val="bottom"/>
            <w:tcBorders>
              <w:left w:val="single" w:sz="8" w:color="auto"/>
              <w:right w:val="single" w:sz="8" w:color="auto"/>
            </w:tcBorders>
            <w:shd w:val="clear" w:color="auto" w:fill="CCEEFF"/>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Borders>
              <w:right w:val="single" w:sz="8" w:color="auto"/>
            </w:tcBorders>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right w:val="single" w:sz="8" w:color="auto"/>
            </w:tcBorders>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6/30/2026</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Borders>
              <w:bottom w:val="single" w:sz="8" w:color="auto"/>
              <w:right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20" w:type="dxa"/>
            <w:vAlign w:val="bottom"/>
            <w:tcBorders>
              <w:bottom w:val="single" w:sz="8" w:color="auto"/>
              <w:right w:val="single" w:sz="8" w:color="auto"/>
            </w:tcBorders>
            <w:shd w:val="clear" w:color="auto" w:fill="CCEEFF"/>
          </w:tcPr>
          <w:p>
            <w:pPr>
              <w:spacing w:after="0"/>
              <w:rPr>
                <w:sz w:val="21"/>
                <w:szCs w:val="21"/>
                <w:color w:val="auto"/>
              </w:rPr>
            </w:pPr>
          </w:p>
        </w:tc>
        <w:tc>
          <w:tcPr>
            <w:tcW w:w="124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7/2/2027</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660" w:type="dxa"/>
            <w:vAlign w:val="bottom"/>
            <w:tcBorders>
              <w:left w:val="single" w:sz="8" w:color="auto"/>
              <w:right w:val="single" w:sz="8" w:color="auto"/>
            </w:tcBorders>
            <w:shd w:val="clear" w:color="auto" w:fill="CCEDFF"/>
          </w:tcPr>
          <w:p>
            <w:pPr>
              <w:spacing w:after="0"/>
              <w:rPr>
                <w:sz w:val="20"/>
                <w:szCs w:val="20"/>
                <w:color w:val="auto"/>
              </w:rPr>
            </w:pPr>
          </w:p>
        </w:tc>
        <w:tc>
          <w:tcPr>
            <w:tcW w:w="180" w:type="dxa"/>
            <w:vAlign w:val="bottom"/>
            <w:shd w:val="clear" w:color="auto" w:fill="CCEDFF"/>
          </w:tcPr>
          <w:p>
            <w:pPr>
              <w:spacing w:after="0"/>
              <w:rPr>
                <w:sz w:val="20"/>
                <w:szCs w:val="20"/>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right w:val="single" w:sz="8" w:color="auto"/>
            </w:tcBorders>
            <w:shd w:val="clear" w:color="auto" w:fill="CCEDFF"/>
          </w:tcPr>
          <w:p>
            <w:pPr>
              <w:spacing w:after="0"/>
              <w:rPr>
                <w:sz w:val="20"/>
                <w:szCs w:val="20"/>
                <w:color w:val="auto"/>
              </w:rPr>
            </w:pPr>
          </w:p>
        </w:tc>
        <w:tc>
          <w:tcPr>
            <w:tcW w:w="180" w:type="dxa"/>
            <w:vAlign w:val="bottom"/>
            <w:shd w:val="clear" w:color="auto" w:fill="CCEDFF"/>
          </w:tcPr>
          <w:p>
            <w:pPr>
              <w:spacing w:after="0"/>
              <w:rPr>
                <w:sz w:val="20"/>
                <w:szCs w:val="20"/>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DFF"/>
          </w:tcPr>
          <w:p>
            <w:pPr>
              <w:spacing w:after="0"/>
              <w:rPr>
                <w:sz w:val="20"/>
                <w:szCs w:val="20"/>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Borders>
              <w:right w:val="single" w:sz="8" w:color="auto"/>
            </w:tcBorders>
            <w:shd w:val="clear" w:color="auto" w:fill="CCEDFF"/>
          </w:tcPr>
          <w:p>
            <w:pPr>
              <w:spacing w:after="0"/>
              <w:rPr>
                <w:sz w:val="20"/>
                <w:szCs w:val="20"/>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6/30/2018</w:t>
            </w:r>
          </w:p>
        </w:tc>
        <w:tc>
          <w:tcPr>
            <w:tcW w:w="160" w:type="dxa"/>
            <w:vAlign w:val="bottom"/>
            <w:shd w:val="clear" w:color="auto" w:fill="CCEDFF"/>
          </w:tcPr>
          <w:p>
            <w:pPr>
              <w:spacing w:after="0"/>
              <w:rPr>
                <w:sz w:val="20"/>
                <w:szCs w:val="20"/>
                <w:color w:val="auto"/>
              </w:rPr>
            </w:pPr>
          </w:p>
        </w:tc>
        <w:tc>
          <w:tcPr>
            <w:tcW w:w="1040" w:type="dxa"/>
            <w:vAlign w:val="bottom"/>
            <w:shd w:val="clear" w:color="auto" w:fill="CCEDFF"/>
          </w:tcPr>
          <w:p>
            <w:pPr>
              <w:spacing w:after="0"/>
              <w:rPr>
                <w:sz w:val="20"/>
                <w:szCs w:val="20"/>
                <w:color w:val="auto"/>
              </w:rPr>
            </w:pPr>
          </w:p>
        </w:tc>
        <w:tc>
          <w:tcPr>
            <w:tcW w:w="120" w:type="dxa"/>
            <w:vAlign w:val="bottom"/>
            <w:tcBorders>
              <w:right w:val="single" w:sz="8" w:color="auto"/>
            </w:tcBorders>
            <w:shd w:val="clear" w:color="auto" w:fill="CCEDFF"/>
          </w:tcPr>
          <w:p>
            <w:pPr>
              <w:spacing w:after="0"/>
              <w:rPr>
                <w:sz w:val="20"/>
                <w:szCs w:val="20"/>
                <w:color w:val="auto"/>
              </w:rPr>
            </w:pPr>
          </w:p>
        </w:tc>
        <w:tc>
          <w:tcPr>
            <w:tcW w:w="200" w:type="dxa"/>
            <w:vAlign w:val="bottom"/>
            <w:shd w:val="clear" w:color="auto" w:fill="CCEDFF"/>
          </w:tcPr>
          <w:p>
            <w:pPr>
              <w:spacing w:after="0"/>
              <w:rPr>
                <w:sz w:val="20"/>
                <w:szCs w:val="20"/>
                <w:color w:val="auto"/>
              </w:rPr>
            </w:pPr>
          </w:p>
        </w:tc>
        <w:tc>
          <w:tcPr>
            <w:tcW w:w="920" w:type="dxa"/>
            <w:vAlign w:val="bottom"/>
            <w:tcBorders>
              <w:right w:val="single" w:sz="8" w:color="auto"/>
            </w:tcBorders>
            <w:shd w:val="clear" w:color="auto" w:fill="CCED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60" w:type="dxa"/>
            <w:vAlign w:val="bottom"/>
            <w:tcBorders>
              <w:left w:val="single" w:sz="8" w:color="auto"/>
              <w:right w:val="single" w:sz="8" w:color="auto"/>
            </w:tcBorders>
            <w:shd w:val="clear" w:color="auto" w:fill="CCEDFF"/>
          </w:tcPr>
          <w:p>
            <w:pPr>
              <w:spacing w:after="0"/>
              <w:rPr>
                <w:sz w:val="20"/>
                <w:szCs w:val="20"/>
                <w:color w:val="auto"/>
              </w:rPr>
            </w:pPr>
          </w:p>
        </w:tc>
        <w:tc>
          <w:tcPr>
            <w:tcW w:w="180" w:type="dxa"/>
            <w:vAlign w:val="bottom"/>
            <w:shd w:val="clear" w:color="auto" w:fill="CCEDFF"/>
          </w:tcPr>
          <w:p>
            <w:pPr>
              <w:spacing w:after="0"/>
              <w:rPr>
                <w:sz w:val="20"/>
                <w:szCs w:val="20"/>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right w:val="single" w:sz="8" w:color="auto"/>
            </w:tcBorders>
            <w:shd w:val="clear" w:color="auto" w:fill="CCEDFF"/>
          </w:tcPr>
          <w:p>
            <w:pPr>
              <w:spacing w:after="0"/>
              <w:rPr>
                <w:sz w:val="20"/>
                <w:szCs w:val="20"/>
                <w:color w:val="auto"/>
              </w:rPr>
            </w:pPr>
          </w:p>
        </w:tc>
        <w:tc>
          <w:tcPr>
            <w:tcW w:w="180" w:type="dxa"/>
            <w:vAlign w:val="bottom"/>
            <w:shd w:val="clear" w:color="auto" w:fill="CCEDFF"/>
          </w:tcPr>
          <w:p>
            <w:pPr>
              <w:spacing w:after="0"/>
              <w:rPr>
                <w:sz w:val="20"/>
                <w:szCs w:val="20"/>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DFF"/>
          </w:tcPr>
          <w:p>
            <w:pPr>
              <w:spacing w:after="0"/>
              <w:rPr>
                <w:sz w:val="20"/>
                <w:szCs w:val="20"/>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tcBorders>
              <w:right w:val="single" w:sz="8" w:color="auto"/>
            </w:tcBorders>
            <w:shd w:val="clear" w:color="auto" w:fill="CCEDFF"/>
          </w:tcPr>
          <w:p>
            <w:pPr>
              <w:spacing w:after="0"/>
              <w:rPr>
                <w:sz w:val="20"/>
                <w:szCs w:val="20"/>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6/30/2019</w:t>
            </w:r>
          </w:p>
        </w:tc>
        <w:tc>
          <w:tcPr>
            <w:tcW w:w="160" w:type="dxa"/>
            <w:vAlign w:val="bottom"/>
            <w:shd w:val="clear" w:color="auto" w:fill="CCEDFF"/>
          </w:tcPr>
          <w:p>
            <w:pPr>
              <w:spacing w:after="0"/>
              <w:rPr>
                <w:sz w:val="20"/>
                <w:szCs w:val="20"/>
                <w:color w:val="auto"/>
              </w:rPr>
            </w:pPr>
          </w:p>
        </w:tc>
        <w:tc>
          <w:tcPr>
            <w:tcW w:w="1040" w:type="dxa"/>
            <w:vAlign w:val="bottom"/>
            <w:shd w:val="clear" w:color="auto" w:fill="CCEDFF"/>
          </w:tcPr>
          <w:p>
            <w:pPr>
              <w:spacing w:after="0"/>
              <w:rPr>
                <w:sz w:val="20"/>
                <w:szCs w:val="20"/>
                <w:color w:val="auto"/>
              </w:rPr>
            </w:pPr>
          </w:p>
        </w:tc>
        <w:tc>
          <w:tcPr>
            <w:tcW w:w="120" w:type="dxa"/>
            <w:vAlign w:val="bottom"/>
            <w:tcBorders>
              <w:right w:val="single" w:sz="8" w:color="auto"/>
            </w:tcBorders>
            <w:shd w:val="clear" w:color="auto" w:fill="CCEDFF"/>
          </w:tcPr>
          <w:p>
            <w:pPr>
              <w:spacing w:after="0"/>
              <w:rPr>
                <w:sz w:val="20"/>
                <w:szCs w:val="20"/>
                <w:color w:val="auto"/>
              </w:rPr>
            </w:pPr>
          </w:p>
        </w:tc>
        <w:tc>
          <w:tcPr>
            <w:tcW w:w="200" w:type="dxa"/>
            <w:vAlign w:val="bottom"/>
            <w:shd w:val="clear" w:color="auto" w:fill="CCEDFF"/>
          </w:tcPr>
          <w:p>
            <w:pPr>
              <w:spacing w:after="0"/>
              <w:rPr>
                <w:sz w:val="20"/>
                <w:szCs w:val="20"/>
                <w:color w:val="auto"/>
              </w:rPr>
            </w:pPr>
          </w:p>
        </w:tc>
        <w:tc>
          <w:tcPr>
            <w:tcW w:w="920" w:type="dxa"/>
            <w:vAlign w:val="bottom"/>
            <w:tcBorders>
              <w:right w:val="single" w:sz="8" w:color="auto"/>
            </w:tcBorders>
            <w:shd w:val="clear" w:color="auto" w:fill="CCED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Borders>
              <w:right w:val="single" w:sz="8" w:color="auto"/>
            </w:tcBorders>
            <w:shd w:val="clear" w:color="auto" w:fill="CCEDFF"/>
          </w:tcPr>
          <w:p>
            <w:pPr>
              <w:spacing w:after="0"/>
              <w:rPr>
                <w:sz w:val="21"/>
                <w:szCs w:val="21"/>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6/30/2020</w:t>
            </w:r>
          </w:p>
        </w:tc>
        <w:tc>
          <w:tcPr>
            <w:tcW w:w="160" w:type="dxa"/>
            <w:vAlign w:val="bottom"/>
            <w:shd w:val="clear" w:color="auto" w:fill="CCEDFF"/>
          </w:tcPr>
          <w:p>
            <w:pPr>
              <w:spacing w:after="0"/>
              <w:rPr>
                <w:sz w:val="21"/>
                <w:szCs w:val="21"/>
                <w:color w:val="auto"/>
              </w:rPr>
            </w:pPr>
          </w:p>
        </w:tc>
        <w:tc>
          <w:tcPr>
            <w:tcW w:w="1040" w:type="dxa"/>
            <w:vAlign w:val="bottom"/>
            <w:shd w:val="clear" w:color="auto" w:fill="CCEDFF"/>
          </w:tcPr>
          <w:p>
            <w:pPr>
              <w:spacing w:after="0"/>
              <w:rPr>
                <w:sz w:val="21"/>
                <w:szCs w:val="21"/>
                <w:color w:val="auto"/>
              </w:rPr>
            </w:pPr>
          </w:p>
        </w:tc>
        <w:tc>
          <w:tcPr>
            <w:tcW w:w="120" w:type="dxa"/>
            <w:vAlign w:val="bottom"/>
            <w:tcBorders>
              <w:right w:val="single" w:sz="8" w:color="auto"/>
            </w:tcBorders>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920" w:type="dxa"/>
            <w:vAlign w:val="bottom"/>
            <w:tcBorders>
              <w:right w:val="single" w:sz="8" w:color="auto"/>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Borders>
              <w:right w:val="single" w:sz="8" w:color="auto"/>
            </w:tcBorders>
            <w:shd w:val="clear" w:color="auto" w:fill="CCEDFF"/>
          </w:tcPr>
          <w:p>
            <w:pPr>
              <w:spacing w:after="0"/>
              <w:rPr>
                <w:sz w:val="21"/>
                <w:szCs w:val="21"/>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6/30/2021</w:t>
            </w:r>
          </w:p>
        </w:tc>
        <w:tc>
          <w:tcPr>
            <w:tcW w:w="160" w:type="dxa"/>
            <w:vAlign w:val="bottom"/>
            <w:shd w:val="clear" w:color="auto" w:fill="CCEDFF"/>
          </w:tcPr>
          <w:p>
            <w:pPr>
              <w:spacing w:after="0"/>
              <w:rPr>
                <w:sz w:val="21"/>
                <w:szCs w:val="21"/>
                <w:color w:val="auto"/>
              </w:rPr>
            </w:pPr>
          </w:p>
        </w:tc>
        <w:tc>
          <w:tcPr>
            <w:tcW w:w="1040" w:type="dxa"/>
            <w:vAlign w:val="bottom"/>
            <w:shd w:val="clear" w:color="auto" w:fill="CCEDFF"/>
          </w:tcPr>
          <w:p>
            <w:pPr>
              <w:spacing w:after="0"/>
              <w:rPr>
                <w:sz w:val="21"/>
                <w:szCs w:val="21"/>
                <w:color w:val="auto"/>
              </w:rPr>
            </w:pPr>
          </w:p>
        </w:tc>
        <w:tc>
          <w:tcPr>
            <w:tcW w:w="120" w:type="dxa"/>
            <w:vAlign w:val="bottom"/>
            <w:tcBorders>
              <w:right w:val="single" w:sz="8" w:color="auto"/>
            </w:tcBorders>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920" w:type="dxa"/>
            <w:vAlign w:val="bottom"/>
            <w:tcBorders>
              <w:right w:val="single" w:sz="8" w:color="auto"/>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vMerge w:val="restart"/>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Frederick T. Muto</w:t>
            </w: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2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Borders>
              <w:right w:val="single" w:sz="8" w:color="auto"/>
            </w:tcBorders>
            <w:shd w:val="clear" w:color="auto" w:fill="CCEDFF"/>
          </w:tcPr>
          <w:p>
            <w:pPr>
              <w:spacing w:after="0"/>
              <w:rPr>
                <w:sz w:val="21"/>
                <w:szCs w:val="21"/>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7/1/2022</w:t>
            </w:r>
          </w:p>
        </w:tc>
        <w:tc>
          <w:tcPr>
            <w:tcW w:w="1200" w:type="dxa"/>
            <w:vAlign w:val="bottom"/>
            <w:gridSpan w:val="2"/>
            <w:vMerge w:val="restart"/>
            <w:shd w:val="clear" w:color="auto" w:fill="CCEDFF"/>
          </w:tcPr>
          <w:p>
            <w:pPr>
              <w:ind w:left="780"/>
              <w:spacing w:after="0"/>
              <w:rPr>
                <w:sz w:val="20"/>
                <w:szCs w:val="20"/>
                <w:color w:val="auto"/>
              </w:rPr>
            </w:pPr>
            <w:r>
              <w:rPr>
                <w:rFonts w:ascii="Times New Roman" w:cs="Times New Roman" w:eastAsia="Times New Roman" w:hAnsi="Times New Roman"/>
                <w:sz w:val="18"/>
                <w:szCs w:val="18"/>
                <w:color w:val="auto"/>
                <w:w w:val="98"/>
              </w:rPr>
              <w:t>6,666</w:t>
            </w:r>
          </w:p>
        </w:tc>
        <w:tc>
          <w:tcPr>
            <w:tcW w:w="120" w:type="dxa"/>
            <w:vAlign w:val="bottom"/>
            <w:tcBorders>
              <w:right w:val="single" w:sz="8" w:color="auto"/>
            </w:tcBorders>
            <w:shd w:val="clear" w:color="auto" w:fill="CCEDFF"/>
          </w:tcPr>
          <w:p>
            <w:pPr>
              <w:spacing w:after="0"/>
              <w:rPr>
                <w:sz w:val="21"/>
                <w:szCs w:val="21"/>
                <w:color w:val="auto"/>
              </w:rPr>
            </w:pPr>
          </w:p>
        </w:tc>
        <w:tc>
          <w:tcPr>
            <w:tcW w:w="20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vMerge w:val="restart"/>
            <w:shd w:val="clear" w:color="auto" w:fill="CCEDFF"/>
          </w:tcPr>
          <w:p>
            <w:pPr>
              <w:jc w:val="right"/>
              <w:ind w:right="42"/>
              <w:spacing w:after="0"/>
              <w:rPr>
                <w:sz w:val="20"/>
                <w:szCs w:val="20"/>
                <w:color w:val="auto"/>
              </w:rPr>
            </w:pPr>
            <w:r>
              <w:rPr>
                <w:rFonts w:ascii="Times New Roman" w:cs="Times New Roman" w:eastAsia="Times New Roman" w:hAnsi="Times New Roman"/>
                <w:sz w:val="18"/>
                <w:szCs w:val="18"/>
                <w:color w:val="auto"/>
              </w:rPr>
              <w:t>335,300</w:t>
            </w:r>
          </w:p>
        </w:tc>
        <w:tc>
          <w:tcPr>
            <w:tcW w:w="0" w:type="dxa"/>
            <w:vAlign w:val="bottom"/>
          </w:tcPr>
          <w:p>
            <w:pPr>
              <w:spacing w:after="0"/>
              <w:rPr>
                <w:sz w:val="1"/>
                <w:szCs w:val="1"/>
                <w:color w:val="auto"/>
              </w:rPr>
            </w:pPr>
          </w:p>
        </w:tc>
      </w:tr>
      <w:tr>
        <w:trPr>
          <w:trHeight w:val="122"/>
        </w:trPr>
        <w:tc>
          <w:tcPr>
            <w:tcW w:w="1660" w:type="dxa"/>
            <w:vAlign w:val="bottom"/>
            <w:tcBorders>
              <w:left w:val="single" w:sz="8" w:color="auto"/>
              <w:right w:val="single" w:sz="8" w:color="auto"/>
            </w:tcBorders>
            <w:vMerge w:val="continue"/>
            <w:shd w:val="clear" w:color="auto" w:fill="CCEDFF"/>
          </w:tcPr>
          <w:p>
            <w:pPr>
              <w:spacing w:after="0"/>
              <w:rPr>
                <w:sz w:val="10"/>
                <w:szCs w:val="10"/>
                <w:color w:val="auto"/>
              </w:rPr>
            </w:pPr>
          </w:p>
        </w:tc>
        <w:tc>
          <w:tcPr>
            <w:tcW w:w="180" w:type="dxa"/>
            <w:vAlign w:val="bottom"/>
            <w:shd w:val="clear" w:color="auto" w:fill="CCEDFF"/>
          </w:tcPr>
          <w:p>
            <w:pPr>
              <w:spacing w:after="0"/>
              <w:rPr>
                <w:sz w:val="10"/>
                <w:szCs w:val="10"/>
                <w:color w:val="auto"/>
              </w:rPr>
            </w:pPr>
          </w:p>
        </w:tc>
        <w:tc>
          <w:tcPr>
            <w:tcW w:w="106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20" w:type="dxa"/>
            <w:vAlign w:val="bottom"/>
            <w:tcBorders>
              <w:right w:val="single" w:sz="8" w:color="auto"/>
            </w:tcBorders>
            <w:shd w:val="clear" w:color="auto" w:fill="CCEDFF"/>
          </w:tcPr>
          <w:p>
            <w:pPr>
              <w:spacing w:after="0"/>
              <w:rPr>
                <w:sz w:val="10"/>
                <w:szCs w:val="10"/>
                <w:color w:val="auto"/>
              </w:rPr>
            </w:pPr>
          </w:p>
        </w:tc>
        <w:tc>
          <w:tcPr>
            <w:tcW w:w="180" w:type="dxa"/>
            <w:vAlign w:val="bottom"/>
            <w:shd w:val="clear" w:color="auto" w:fill="CCEDFF"/>
          </w:tcPr>
          <w:p>
            <w:pPr>
              <w:spacing w:after="0"/>
              <w:rPr>
                <w:sz w:val="10"/>
                <w:szCs w:val="10"/>
                <w:color w:val="auto"/>
              </w:rPr>
            </w:pPr>
          </w:p>
        </w:tc>
        <w:tc>
          <w:tcPr>
            <w:tcW w:w="106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DFF"/>
          </w:tcPr>
          <w:p>
            <w:pPr>
              <w:spacing w:after="0"/>
              <w:rPr>
                <w:sz w:val="10"/>
                <w:szCs w:val="10"/>
                <w:color w:val="auto"/>
              </w:rPr>
            </w:pPr>
          </w:p>
        </w:tc>
        <w:tc>
          <w:tcPr>
            <w:tcW w:w="18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Borders>
              <w:right w:val="single" w:sz="8" w:color="auto"/>
            </w:tcBorders>
            <w:shd w:val="clear" w:color="auto" w:fill="CCEDFF"/>
          </w:tcPr>
          <w:p>
            <w:pPr>
              <w:spacing w:after="0"/>
              <w:rPr>
                <w:sz w:val="10"/>
                <w:szCs w:val="10"/>
                <w:color w:val="auto"/>
              </w:rPr>
            </w:pPr>
          </w:p>
        </w:tc>
        <w:tc>
          <w:tcPr>
            <w:tcW w:w="1240" w:type="dxa"/>
            <w:vAlign w:val="bottom"/>
            <w:tcBorders>
              <w:right w:val="single" w:sz="8" w:color="auto"/>
            </w:tcBorders>
            <w:vMerge w:val="restart"/>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6/30/2023</w:t>
            </w:r>
          </w:p>
        </w:tc>
        <w:tc>
          <w:tcPr>
            <w:tcW w:w="1200" w:type="dxa"/>
            <w:vAlign w:val="bottom"/>
            <w:gridSpan w:val="2"/>
            <w:vMerge w:val="continue"/>
            <w:shd w:val="clear" w:color="auto" w:fill="CCEDFF"/>
          </w:tcPr>
          <w:p>
            <w:pPr>
              <w:spacing w:after="0"/>
              <w:rPr>
                <w:sz w:val="10"/>
                <w:szCs w:val="10"/>
                <w:color w:val="auto"/>
              </w:rPr>
            </w:pPr>
          </w:p>
        </w:tc>
        <w:tc>
          <w:tcPr>
            <w:tcW w:w="120" w:type="dxa"/>
            <w:vAlign w:val="bottom"/>
            <w:tcBorders>
              <w:right w:val="single" w:sz="8" w:color="auto"/>
            </w:tcBorders>
            <w:shd w:val="clear" w:color="auto" w:fill="CCEDFF"/>
          </w:tcPr>
          <w:p>
            <w:pPr>
              <w:spacing w:after="0"/>
              <w:rPr>
                <w:sz w:val="10"/>
                <w:szCs w:val="10"/>
                <w:color w:val="auto"/>
              </w:rPr>
            </w:pPr>
          </w:p>
        </w:tc>
        <w:tc>
          <w:tcPr>
            <w:tcW w:w="200" w:type="dxa"/>
            <w:vAlign w:val="bottom"/>
            <w:vMerge w:val="continue"/>
            <w:shd w:val="clear" w:color="auto" w:fill="CCEDFF"/>
          </w:tcPr>
          <w:p>
            <w:pPr>
              <w:spacing w:after="0"/>
              <w:rPr>
                <w:sz w:val="10"/>
                <w:szCs w:val="10"/>
                <w:color w:val="auto"/>
              </w:rPr>
            </w:pPr>
          </w:p>
        </w:tc>
        <w:tc>
          <w:tcPr>
            <w:tcW w:w="920" w:type="dxa"/>
            <w:vAlign w:val="bottom"/>
            <w:tcBorders>
              <w:right w:val="single" w:sz="8" w:color="auto"/>
            </w:tcBorders>
            <w:vMerge w:val="continue"/>
            <w:shd w:val="clear" w:color="auto" w:fill="CCED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Borders>
              <w:left w:val="single" w:sz="8" w:color="auto"/>
              <w:right w:val="single" w:sz="8" w:color="auto"/>
            </w:tcBorders>
            <w:shd w:val="clear" w:color="auto" w:fill="CCEDFF"/>
          </w:tcPr>
          <w:p>
            <w:pPr>
              <w:spacing w:after="0"/>
              <w:rPr>
                <w:sz w:val="10"/>
                <w:szCs w:val="10"/>
                <w:color w:val="auto"/>
              </w:rPr>
            </w:pPr>
          </w:p>
        </w:tc>
        <w:tc>
          <w:tcPr>
            <w:tcW w:w="180" w:type="dxa"/>
            <w:vAlign w:val="bottom"/>
            <w:shd w:val="clear" w:color="auto" w:fill="CCEDFF"/>
          </w:tcPr>
          <w:p>
            <w:pPr>
              <w:spacing w:after="0"/>
              <w:rPr>
                <w:sz w:val="10"/>
                <w:szCs w:val="10"/>
                <w:color w:val="auto"/>
              </w:rPr>
            </w:pPr>
          </w:p>
        </w:tc>
        <w:tc>
          <w:tcPr>
            <w:tcW w:w="1060" w:type="dxa"/>
            <w:vAlign w:val="bottom"/>
            <w:vMerge w:val="continue"/>
            <w:shd w:val="clear" w:color="auto" w:fill="CCEDFF"/>
          </w:tcPr>
          <w:p>
            <w:pPr>
              <w:spacing w:after="0"/>
              <w:rPr>
                <w:sz w:val="10"/>
                <w:szCs w:val="10"/>
                <w:color w:val="auto"/>
              </w:rPr>
            </w:pPr>
          </w:p>
        </w:tc>
        <w:tc>
          <w:tcPr>
            <w:tcW w:w="120" w:type="dxa"/>
            <w:vAlign w:val="bottom"/>
            <w:tcBorders>
              <w:right w:val="single" w:sz="8" w:color="auto"/>
            </w:tcBorders>
            <w:shd w:val="clear" w:color="auto" w:fill="CCEDFF"/>
          </w:tcPr>
          <w:p>
            <w:pPr>
              <w:spacing w:after="0"/>
              <w:rPr>
                <w:sz w:val="10"/>
                <w:szCs w:val="10"/>
                <w:color w:val="auto"/>
              </w:rPr>
            </w:pPr>
          </w:p>
        </w:tc>
        <w:tc>
          <w:tcPr>
            <w:tcW w:w="180" w:type="dxa"/>
            <w:vAlign w:val="bottom"/>
            <w:shd w:val="clear" w:color="auto" w:fill="CCEDFF"/>
          </w:tcPr>
          <w:p>
            <w:pPr>
              <w:spacing w:after="0"/>
              <w:rPr>
                <w:sz w:val="10"/>
                <w:szCs w:val="10"/>
                <w:color w:val="auto"/>
              </w:rPr>
            </w:pPr>
          </w:p>
        </w:tc>
        <w:tc>
          <w:tcPr>
            <w:tcW w:w="1060" w:type="dxa"/>
            <w:vAlign w:val="bottom"/>
            <w:vMerge w:val="continue"/>
            <w:shd w:val="clear" w:color="auto" w:fill="CCEDFF"/>
          </w:tcPr>
          <w:p>
            <w:pPr>
              <w:spacing w:after="0"/>
              <w:rPr>
                <w:sz w:val="10"/>
                <w:szCs w:val="10"/>
                <w:color w:val="auto"/>
              </w:rPr>
            </w:pPr>
          </w:p>
        </w:tc>
        <w:tc>
          <w:tcPr>
            <w:tcW w:w="100" w:type="dxa"/>
            <w:vAlign w:val="bottom"/>
            <w:tcBorders>
              <w:right w:val="single" w:sz="8" w:color="auto"/>
            </w:tcBorders>
            <w:shd w:val="clear" w:color="auto" w:fill="CCEDFF"/>
          </w:tcPr>
          <w:p>
            <w:pPr>
              <w:spacing w:after="0"/>
              <w:rPr>
                <w:sz w:val="10"/>
                <w:szCs w:val="10"/>
                <w:color w:val="auto"/>
              </w:rPr>
            </w:pPr>
          </w:p>
        </w:tc>
        <w:tc>
          <w:tcPr>
            <w:tcW w:w="180" w:type="dxa"/>
            <w:vAlign w:val="bottom"/>
            <w:vMerge w:val="continue"/>
            <w:shd w:val="clear" w:color="auto" w:fill="CCEDFF"/>
          </w:tcPr>
          <w:p>
            <w:pPr>
              <w:spacing w:after="0"/>
              <w:rPr>
                <w:sz w:val="10"/>
                <w:szCs w:val="10"/>
                <w:color w:val="auto"/>
              </w:rPr>
            </w:pPr>
          </w:p>
        </w:tc>
        <w:tc>
          <w:tcPr>
            <w:tcW w:w="1220" w:type="dxa"/>
            <w:vAlign w:val="bottom"/>
            <w:vMerge w:val="continue"/>
            <w:shd w:val="clear" w:color="auto" w:fill="CCEDFF"/>
          </w:tcPr>
          <w:p>
            <w:pPr>
              <w:spacing w:after="0"/>
              <w:rPr>
                <w:sz w:val="10"/>
                <w:szCs w:val="10"/>
                <w:color w:val="auto"/>
              </w:rPr>
            </w:pPr>
          </w:p>
        </w:tc>
        <w:tc>
          <w:tcPr>
            <w:tcW w:w="120" w:type="dxa"/>
            <w:vAlign w:val="bottom"/>
            <w:tcBorders>
              <w:right w:val="single" w:sz="8" w:color="auto"/>
            </w:tcBorders>
            <w:shd w:val="clear" w:color="auto" w:fill="CCEDFF"/>
          </w:tcPr>
          <w:p>
            <w:pPr>
              <w:spacing w:after="0"/>
              <w:rPr>
                <w:sz w:val="10"/>
                <w:szCs w:val="10"/>
                <w:color w:val="auto"/>
              </w:rPr>
            </w:pPr>
          </w:p>
        </w:tc>
        <w:tc>
          <w:tcPr>
            <w:tcW w:w="1240" w:type="dxa"/>
            <w:vAlign w:val="bottom"/>
            <w:tcBorders>
              <w:right w:val="single" w:sz="8" w:color="auto"/>
            </w:tcBorders>
            <w:vMerge w:val="continue"/>
            <w:shd w:val="clear" w:color="auto" w:fill="CCEDFF"/>
          </w:tcPr>
          <w:p>
            <w:pPr>
              <w:spacing w:after="0"/>
              <w:rPr>
                <w:sz w:val="10"/>
                <w:szCs w:val="10"/>
                <w:color w:val="auto"/>
              </w:rPr>
            </w:pPr>
          </w:p>
        </w:tc>
        <w:tc>
          <w:tcPr>
            <w:tcW w:w="160" w:type="dxa"/>
            <w:vAlign w:val="bottom"/>
            <w:shd w:val="clear" w:color="auto" w:fill="CCEDFF"/>
          </w:tcPr>
          <w:p>
            <w:pPr>
              <w:spacing w:after="0"/>
              <w:rPr>
                <w:sz w:val="10"/>
                <w:szCs w:val="10"/>
                <w:color w:val="auto"/>
              </w:rPr>
            </w:pPr>
          </w:p>
        </w:tc>
        <w:tc>
          <w:tcPr>
            <w:tcW w:w="1040" w:type="dxa"/>
            <w:vAlign w:val="bottom"/>
            <w:shd w:val="clear" w:color="auto" w:fill="CCEDFF"/>
          </w:tcPr>
          <w:p>
            <w:pPr>
              <w:spacing w:after="0"/>
              <w:rPr>
                <w:sz w:val="10"/>
                <w:szCs w:val="10"/>
                <w:color w:val="auto"/>
              </w:rPr>
            </w:pPr>
          </w:p>
        </w:tc>
        <w:tc>
          <w:tcPr>
            <w:tcW w:w="120" w:type="dxa"/>
            <w:vAlign w:val="bottom"/>
            <w:tcBorders>
              <w:right w:val="single" w:sz="8" w:color="auto"/>
            </w:tcBorders>
            <w:shd w:val="clear" w:color="auto" w:fill="CCEDFF"/>
          </w:tcPr>
          <w:p>
            <w:pPr>
              <w:spacing w:after="0"/>
              <w:rPr>
                <w:sz w:val="10"/>
                <w:szCs w:val="10"/>
                <w:color w:val="auto"/>
              </w:rPr>
            </w:pPr>
          </w:p>
        </w:tc>
        <w:tc>
          <w:tcPr>
            <w:tcW w:w="200" w:type="dxa"/>
            <w:vAlign w:val="bottom"/>
            <w:shd w:val="clear" w:color="auto" w:fill="CCEDFF"/>
          </w:tcPr>
          <w:p>
            <w:pPr>
              <w:spacing w:after="0"/>
              <w:rPr>
                <w:sz w:val="10"/>
                <w:szCs w:val="10"/>
                <w:color w:val="auto"/>
              </w:rPr>
            </w:pPr>
          </w:p>
        </w:tc>
        <w:tc>
          <w:tcPr>
            <w:tcW w:w="920" w:type="dxa"/>
            <w:vAlign w:val="bottom"/>
            <w:tcBorders>
              <w:right w:val="single" w:sz="8" w:color="auto"/>
            </w:tcBorders>
            <w:shd w:val="clear" w:color="auto" w:fill="CCED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tcBorders>
              <w:right w:val="single" w:sz="8" w:color="auto"/>
            </w:tcBorders>
            <w:shd w:val="clear" w:color="auto" w:fill="CCEDFF"/>
          </w:tcPr>
          <w:p>
            <w:pPr>
              <w:spacing w:after="0"/>
              <w:rPr>
                <w:sz w:val="21"/>
                <w:szCs w:val="21"/>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6/30/2024</w:t>
            </w:r>
          </w:p>
        </w:tc>
        <w:tc>
          <w:tcPr>
            <w:tcW w:w="160" w:type="dxa"/>
            <w:vAlign w:val="bottom"/>
            <w:shd w:val="clear" w:color="auto" w:fill="CCEDFF"/>
          </w:tcPr>
          <w:p>
            <w:pPr>
              <w:spacing w:after="0"/>
              <w:rPr>
                <w:sz w:val="21"/>
                <w:szCs w:val="21"/>
                <w:color w:val="auto"/>
              </w:rPr>
            </w:pPr>
          </w:p>
        </w:tc>
        <w:tc>
          <w:tcPr>
            <w:tcW w:w="1040" w:type="dxa"/>
            <w:vAlign w:val="bottom"/>
            <w:shd w:val="clear" w:color="auto" w:fill="CCEDFF"/>
          </w:tcPr>
          <w:p>
            <w:pPr>
              <w:spacing w:after="0"/>
              <w:rPr>
                <w:sz w:val="21"/>
                <w:szCs w:val="21"/>
                <w:color w:val="auto"/>
              </w:rPr>
            </w:pPr>
          </w:p>
        </w:tc>
        <w:tc>
          <w:tcPr>
            <w:tcW w:w="120" w:type="dxa"/>
            <w:vAlign w:val="bottom"/>
            <w:tcBorders>
              <w:right w:val="single" w:sz="8" w:color="auto"/>
            </w:tcBorders>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920" w:type="dxa"/>
            <w:vAlign w:val="bottom"/>
            <w:tcBorders>
              <w:right w:val="single" w:sz="8" w:color="auto"/>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20" w:type="dxa"/>
            <w:vAlign w:val="bottom"/>
            <w:tcBorders>
              <w:right w:val="single" w:sz="8" w:color="auto"/>
            </w:tcBorders>
            <w:shd w:val="clear" w:color="auto" w:fill="CCEDFF"/>
          </w:tcPr>
          <w:p>
            <w:pPr>
              <w:spacing w:after="0"/>
              <w:rPr>
                <w:sz w:val="21"/>
                <w:szCs w:val="21"/>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6/30/2025</w:t>
            </w:r>
          </w:p>
        </w:tc>
        <w:tc>
          <w:tcPr>
            <w:tcW w:w="160" w:type="dxa"/>
            <w:vAlign w:val="bottom"/>
            <w:shd w:val="clear" w:color="auto" w:fill="CCEDFF"/>
          </w:tcPr>
          <w:p>
            <w:pPr>
              <w:spacing w:after="0"/>
              <w:rPr>
                <w:sz w:val="21"/>
                <w:szCs w:val="21"/>
                <w:color w:val="auto"/>
              </w:rPr>
            </w:pPr>
          </w:p>
        </w:tc>
        <w:tc>
          <w:tcPr>
            <w:tcW w:w="1040" w:type="dxa"/>
            <w:vAlign w:val="bottom"/>
            <w:shd w:val="clear" w:color="auto" w:fill="CCEDFF"/>
          </w:tcPr>
          <w:p>
            <w:pPr>
              <w:spacing w:after="0"/>
              <w:rPr>
                <w:sz w:val="21"/>
                <w:szCs w:val="21"/>
                <w:color w:val="auto"/>
              </w:rPr>
            </w:pPr>
          </w:p>
        </w:tc>
        <w:tc>
          <w:tcPr>
            <w:tcW w:w="120" w:type="dxa"/>
            <w:vAlign w:val="bottom"/>
            <w:tcBorders>
              <w:right w:val="single" w:sz="8" w:color="auto"/>
            </w:tcBorders>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920" w:type="dxa"/>
            <w:vAlign w:val="bottom"/>
            <w:tcBorders>
              <w:right w:val="single" w:sz="8" w:color="auto"/>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right w:val="single" w:sz="8" w:color="auto"/>
            </w:tcBorders>
            <w:shd w:val="clear" w:color="auto" w:fill="CCEDFF"/>
          </w:tcPr>
          <w:p>
            <w:pPr>
              <w:spacing w:after="0"/>
              <w:rPr>
                <w:sz w:val="21"/>
                <w:szCs w:val="21"/>
                <w:color w:val="auto"/>
              </w:rPr>
            </w:pP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20" w:type="dxa"/>
            <w:vAlign w:val="bottom"/>
            <w:tcBorders>
              <w:right w:val="single" w:sz="8" w:color="auto"/>
            </w:tcBorders>
            <w:shd w:val="clear" w:color="auto" w:fill="CCEDFF"/>
          </w:tcPr>
          <w:p>
            <w:pPr>
              <w:spacing w:after="0"/>
              <w:rPr>
                <w:sz w:val="21"/>
                <w:szCs w:val="21"/>
                <w:color w:val="auto"/>
              </w:rPr>
            </w:pPr>
          </w:p>
        </w:tc>
        <w:tc>
          <w:tcPr>
            <w:tcW w:w="1240" w:type="dxa"/>
            <w:vAlign w:val="bottom"/>
            <w:tcBorders>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6/30/2016</w:t>
            </w:r>
          </w:p>
        </w:tc>
        <w:tc>
          <w:tcPr>
            <w:tcW w:w="160" w:type="dxa"/>
            <w:vAlign w:val="bottom"/>
            <w:shd w:val="clear" w:color="auto" w:fill="CCEDFF"/>
          </w:tcPr>
          <w:p>
            <w:pPr>
              <w:spacing w:after="0"/>
              <w:rPr>
                <w:sz w:val="21"/>
                <w:szCs w:val="21"/>
                <w:color w:val="auto"/>
              </w:rPr>
            </w:pPr>
          </w:p>
        </w:tc>
        <w:tc>
          <w:tcPr>
            <w:tcW w:w="1040" w:type="dxa"/>
            <w:vAlign w:val="bottom"/>
            <w:shd w:val="clear" w:color="auto" w:fill="CCEDFF"/>
          </w:tcPr>
          <w:p>
            <w:pPr>
              <w:spacing w:after="0"/>
              <w:rPr>
                <w:sz w:val="21"/>
                <w:szCs w:val="21"/>
                <w:color w:val="auto"/>
              </w:rPr>
            </w:pPr>
          </w:p>
        </w:tc>
        <w:tc>
          <w:tcPr>
            <w:tcW w:w="120" w:type="dxa"/>
            <w:vAlign w:val="bottom"/>
            <w:tcBorders>
              <w:right w:val="single" w:sz="8" w:color="auto"/>
            </w:tcBorders>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920" w:type="dxa"/>
            <w:vAlign w:val="bottom"/>
            <w:tcBorders>
              <w:right w:val="single" w:sz="8" w:color="auto"/>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bottom w:val="single" w:sz="8" w:color="auto"/>
              <w:right w:val="single" w:sz="8" w:color="auto"/>
            </w:tcBorders>
            <w:shd w:val="clear" w:color="auto" w:fill="CCEDFF"/>
          </w:tcPr>
          <w:p>
            <w:pPr>
              <w:spacing w:after="0"/>
              <w:rPr>
                <w:sz w:val="21"/>
                <w:szCs w:val="21"/>
                <w:color w:val="auto"/>
              </w:rPr>
            </w:pPr>
          </w:p>
        </w:tc>
        <w:tc>
          <w:tcPr>
            <w:tcW w:w="180" w:type="dxa"/>
            <w:vAlign w:val="bottom"/>
            <w:tcBorders>
              <w:bottom w:val="single" w:sz="8" w:color="auto"/>
            </w:tcBorders>
            <w:shd w:val="clear" w:color="auto" w:fill="CCEDFF"/>
          </w:tcPr>
          <w:p>
            <w:pPr>
              <w:spacing w:after="0"/>
              <w:rPr>
                <w:sz w:val="21"/>
                <w:szCs w:val="21"/>
                <w:color w:val="auto"/>
              </w:rPr>
            </w:pP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shd w:val="clear" w:color="auto" w:fill="CCEDFF"/>
          </w:tcPr>
          <w:p>
            <w:pPr>
              <w:spacing w:after="0"/>
              <w:rPr>
                <w:sz w:val="21"/>
                <w:szCs w:val="21"/>
                <w:color w:val="auto"/>
              </w:rPr>
            </w:pPr>
          </w:p>
        </w:tc>
        <w:tc>
          <w:tcPr>
            <w:tcW w:w="180" w:type="dxa"/>
            <w:vAlign w:val="bottom"/>
            <w:tcBorders>
              <w:bottom w:val="single" w:sz="8" w:color="auto"/>
            </w:tcBorders>
            <w:shd w:val="clear" w:color="auto" w:fill="CCEDFF"/>
          </w:tcPr>
          <w:p>
            <w:pPr>
              <w:spacing w:after="0"/>
              <w:rPr>
                <w:sz w:val="21"/>
                <w:szCs w:val="21"/>
                <w:color w:val="auto"/>
              </w:rPr>
            </w:pP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Borders>
              <w:bottom w:val="single" w:sz="8" w:color="auto"/>
              <w:right w:val="single" w:sz="8" w:color="auto"/>
            </w:tcBorders>
            <w:shd w:val="clear" w:color="auto" w:fill="CCEDFF"/>
          </w:tcPr>
          <w:p>
            <w:pPr>
              <w:spacing w:after="0"/>
              <w:rPr>
                <w:sz w:val="21"/>
                <w:szCs w:val="21"/>
                <w:color w:val="auto"/>
              </w:rPr>
            </w:pPr>
          </w:p>
        </w:tc>
        <w:tc>
          <w:tcPr>
            <w:tcW w:w="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20" w:type="dxa"/>
            <w:vAlign w:val="bottom"/>
            <w:tcBorders>
              <w:bottom w:val="single" w:sz="8" w:color="auto"/>
              <w:right w:val="single" w:sz="8" w:color="auto"/>
            </w:tcBorders>
            <w:shd w:val="clear" w:color="auto" w:fill="CCEDFF"/>
          </w:tcPr>
          <w:p>
            <w:pPr>
              <w:spacing w:after="0"/>
              <w:rPr>
                <w:sz w:val="21"/>
                <w:szCs w:val="21"/>
                <w:color w:val="auto"/>
              </w:rPr>
            </w:pPr>
          </w:p>
        </w:tc>
        <w:tc>
          <w:tcPr>
            <w:tcW w:w="1240" w:type="dxa"/>
            <w:vAlign w:val="bottom"/>
            <w:tcBorders>
              <w:bottom w:val="single" w:sz="8" w:color="auto"/>
              <w:right w:val="single" w:sz="8" w:color="auto"/>
            </w:tcBorders>
            <w:shd w:val="clear" w:color="auto" w:fill="CCEDFF"/>
          </w:tcPr>
          <w:p>
            <w:pPr>
              <w:jc w:val="right"/>
              <w:ind w:right="51"/>
              <w:spacing w:after="0"/>
              <w:rPr>
                <w:sz w:val="20"/>
                <w:szCs w:val="20"/>
                <w:color w:val="auto"/>
              </w:rPr>
            </w:pPr>
            <w:r>
              <w:rPr>
                <w:rFonts w:ascii="Times New Roman" w:cs="Times New Roman" w:eastAsia="Times New Roman" w:hAnsi="Times New Roman"/>
                <w:sz w:val="18"/>
                <w:szCs w:val="18"/>
                <w:color w:val="auto"/>
              </w:rPr>
              <w:t>7/2/2027</w:t>
            </w:r>
          </w:p>
        </w:tc>
        <w:tc>
          <w:tcPr>
            <w:tcW w:w="160" w:type="dxa"/>
            <w:vAlign w:val="bottom"/>
            <w:tcBorders>
              <w:bottom w:val="single" w:sz="8" w:color="auto"/>
            </w:tcBorders>
            <w:shd w:val="clear" w:color="auto" w:fill="CCEDFF"/>
          </w:tcPr>
          <w:p>
            <w:pPr>
              <w:spacing w:after="0"/>
              <w:rPr>
                <w:sz w:val="21"/>
                <w:szCs w:val="21"/>
                <w:color w:val="auto"/>
              </w:rPr>
            </w:pPr>
          </w:p>
        </w:tc>
        <w:tc>
          <w:tcPr>
            <w:tcW w:w="1040" w:type="dxa"/>
            <w:vAlign w:val="bottom"/>
            <w:tcBorders>
              <w:bottom w:val="single" w:sz="8" w:color="auto"/>
            </w:tcBorders>
            <w:shd w:val="clear" w:color="auto" w:fill="CCEDFF"/>
          </w:tcPr>
          <w:p>
            <w:pPr>
              <w:spacing w:after="0"/>
              <w:rPr>
                <w:sz w:val="21"/>
                <w:szCs w:val="21"/>
                <w:color w:val="auto"/>
              </w:rPr>
            </w:pPr>
          </w:p>
        </w:tc>
        <w:tc>
          <w:tcPr>
            <w:tcW w:w="120" w:type="dxa"/>
            <w:vAlign w:val="bottom"/>
            <w:tcBorders>
              <w:bottom w:val="single" w:sz="8" w:color="auto"/>
              <w:right w:val="single" w:sz="8" w:color="auto"/>
            </w:tcBorders>
            <w:shd w:val="clear" w:color="auto" w:fill="CCEDFF"/>
          </w:tcPr>
          <w:p>
            <w:pPr>
              <w:spacing w:after="0"/>
              <w:rPr>
                <w:sz w:val="21"/>
                <w:szCs w:val="21"/>
                <w:color w:val="auto"/>
              </w:rPr>
            </w:pPr>
          </w:p>
        </w:tc>
        <w:tc>
          <w:tcPr>
            <w:tcW w:w="200" w:type="dxa"/>
            <w:vAlign w:val="bottom"/>
            <w:tcBorders>
              <w:bottom w:val="single" w:sz="8" w:color="auto"/>
            </w:tcBorders>
            <w:shd w:val="clear" w:color="auto" w:fill="CCEDFF"/>
          </w:tcPr>
          <w:p>
            <w:pPr>
              <w:spacing w:after="0"/>
              <w:rPr>
                <w:sz w:val="21"/>
                <w:szCs w:val="21"/>
                <w:color w:val="auto"/>
              </w:rPr>
            </w:pPr>
          </w:p>
        </w:tc>
        <w:tc>
          <w:tcPr>
            <w:tcW w:w="920" w:type="dxa"/>
            <w:vAlign w:val="bottom"/>
            <w:tcBorders>
              <w:bottom w:val="single" w:sz="8" w:color="auto"/>
              <w:right w:val="single" w:sz="8" w:color="auto"/>
            </w:tcBorders>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60" w:type="dxa"/>
            <w:vAlign w:val="bottom"/>
            <w:tcBorders>
              <w:left w:val="single" w:sz="8" w:color="auto"/>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124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2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-4501515</wp:posOffset>
            </wp:positionV>
            <wp:extent cx="6062980" cy="9347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62980" cy="934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-2940685</wp:posOffset>
            </wp:positionV>
            <wp:extent cx="6062980" cy="780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62980" cy="780415"/>
                    </a:xfrm>
                    <a:prstGeom prst="rect">
                      <a:avLst/>
                    </a:prstGeom>
                    <a:noFill/>
                  </pic:spPr>
                </pic:pic>
              </a:graphicData>
            </a:graphic>
          </wp:anchor>
        </w:drawing>
      </w:r>
    </w:p>
    <w:p>
      <w:pPr>
        <w:sectPr>
          <w:pgSz w:w="11900" w:h="16838" w:orient="portrait"/>
          <w:cols w:equalWidth="0" w:num="1">
            <w:col w:w="9560"/>
          </w:cols>
          <w:pgMar w:left="1180" w:top="277" w:right="1159" w:bottom="1440" w:gutter="0" w:footer="0" w:header="0"/>
        </w:sectPr>
      </w:pPr>
    </w:p>
    <w:bookmarkStart w:id="56" w:name="page57"/>
    <w:bookmarkEnd w:id="56"/>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tbl>
      <w:tblPr>
        <w:tblLayout w:type="fixed"/>
        <w:tblInd w:w="17" w:type="dxa"/>
        <w:tblCellMar>
          <w:top w:w="0" w:type="dxa"/>
          <w:left w:w="0" w:type="dxa"/>
          <w:bottom w:w="0" w:type="dxa"/>
          <w:right w:w="0" w:type="dxa"/>
        </w:tblCellMar>
      </w:tblPr>
      <w:tr>
        <w:trPr>
          <w:trHeight w:val="203"/>
        </w:trPr>
        <w:tc>
          <w:tcPr>
            <w:tcW w:w="1440" w:type="dxa"/>
            <w:vAlign w:val="bottom"/>
            <w:tcBorders>
              <w:top w:val="single" w:sz="8" w:color="auto"/>
              <w:left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right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2860" w:type="dxa"/>
            <w:vAlign w:val="bottom"/>
            <w:tcBorders>
              <w:top w:val="single" w:sz="8" w:color="auto"/>
              <w:bottom w:val="single" w:sz="8" w:color="auto"/>
            </w:tcBorders>
            <w:gridSpan w:val="3"/>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40" w:type="dxa"/>
            <w:vAlign w:val="bottom"/>
            <w:tcBorders>
              <w:top w:val="single" w:sz="8" w:color="auto"/>
              <w:bottom w:val="single" w:sz="8" w:color="auto"/>
              <w:right w:val="single" w:sz="8" w:color="auto"/>
            </w:tcBorders>
          </w:tcPr>
          <w:p>
            <w:pPr>
              <w:spacing w:after="0"/>
              <w:rPr>
                <w:sz w:val="17"/>
                <w:szCs w:val="17"/>
                <w:color w:val="auto"/>
              </w:rPr>
            </w:pPr>
          </w:p>
        </w:tc>
        <w:tc>
          <w:tcPr>
            <w:tcW w:w="2440" w:type="dxa"/>
            <w:vAlign w:val="bottom"/>
            <w:tcBorders>
              <w:top w:val="single" w:sz="8" w:color="auto"/>
              <w:bottom w:val="single" w:sz="8" w:color="auto"/>
              <w:right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58"/>
        </w:trPr>
        <w:tc>
          <w:tcPr>
            <w:tcW w:w="1440" w:type="dxa"/>
            <w:vAlign w:val="bottom"/>
            <w:tcBorders>
              <w:lef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right w:val="single" w:sz="8" w:color="auto"/>
            </w:tcBorders>
          </w:tcPr>
          <w:p>
            <w:pPr>
              <w:jc w:val="center"/>
              <w:ind w:right="148"/>
              <w:spacing w:after="0" w:line="158" w:lineRule="exact"/>
              <w:rPr>
                <w:sz w:val="20"/>
                <w:szCs w:val="20"/>
                <w:color w:val="auto"/>
              </w:rPr>
            </w:pPr>
            <w:r>
              <w:rPr>
                <w:rFonts w:ascii="Times New Roman" w:cs="Times New Roman" w:eastAsia="Times New Roman" w:hAnsi="Times New Roman"/>
                <w:sz w:val="14"/>
                <w:szCs w:val="14"/>
                <w:b w:val="1"/>
                <w:bCs w:val="1"/>
                <w:color w:val="auto"/>
              </w:rPr>
              <w:t>Market</w:t>
            </w:r>
          </w:p>
        </w:tc>
      </w:tr>
      <w:tr>
        <w:trPr>
          <w:trHeight w:val="162"/>
        </w:trPr>
        <w:tc>
          <w:tcPr>
            <w:tcW w:w="1440" w:type="dxa"/>
            <w:vAlign w:val="bottom"/>
            <w:tcBorders>
              <w:lef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right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Value of</w:t>
            </w:r>
          </w:p>
        </w:tc>
      </w:tr>
      <w:tr>
        <w:trPr>
          <w:trHeight w:val="162"/>
        </w:trPr>
        <w:tc>
          <w:tcPr>
            <w:tcW w:w="1440" w:type="dxa"/>
            <w:vAlign w:val="bottom"/>
            <w:tcBorders>
              <w:lef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right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Shares or</w:t>
            </w:r>
          </w:p>
        </w:tc>
      </w:tr>
      <w:tr>
        <w:trPr>
          <w:trHeight w:val="162"/>
        </w:trPr>
        <w:tc>
          <w:tcPr>
            <w:tcW w:w="1440" w:type="dxa"/>
            <w:vAlign w:val="bottom"/>
            <w:tcBorders>
              <w:lef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920" w:type="dxa"/>
            <w:vAlign w:val="bottom"/>
            <w:tcBorders>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Units of</w:t>
            </w:r>
          </w:p>
        </w:tc>
      </w:tr>
      <w:tr>
        <w:trPr>
          <w:trHeight w:val="162"/>
        </w:trPr>
        <w:tc>
          <w:tcPr>
            <w:tcW w:w="1440" w:type="dxa"/>
            <w:vAlign w:val="bottom"/>
            <w:tcBorders>
              <w:lef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200" w:type="dxa"/>
            <w:vAlign w:val="bottom"/>
          </w:tcPr>
          <w:p>
            <w:pPr>
              <w:spacing w:after="0"/>
              <w:rPr>
                <w:sz w:val="14"/>
                <w:szCs w:val="14"/>
                <w:color w:val="auto"/>
              </w:rPr>
            </w:pPr>
          </w:p>
        </w:tc>
        <w:tc>
          <w:tcPr>
            <w:tcW w:w="920" w:type="dxa"/>
            <w:vAlign w:val="bottom"/>
            <w:tcBorders>
              <w:right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Stock that</w:t>
            </w:r>
          </w:p>
        </w:tc>
      </w:tr>
      <w:tr>
        <w:trPr>
          <w:trHeight w:val="146"/>
        </w:trPr>
        <w:tc>
          <w:tcPr>
            <w:tcW w:w="144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8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Option</w:t>
            </w:r>
          </w:p>
        </w:tc>
        <w:tc>
          <w:tcPr>
            <w:tcW w:w="13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200" w:type="dxa"/>
            <w:vAlign w:val="bottom"/>
          </w:tcPr>
          <w:p>
            <w:pPr>
              <w:spacing w:after="0"/>
              <w:rPr>
                <w:sz w:val="12"/>
                <w:szCs w:val="12"/>
                <w:color w:val="auto"/>
              </w:rPr>
            </w:pPr>
          </w:p>
        </w:tc>
        <w:tc>
          <w:tcPr>
            <w:tcW w:w="920" w:type="dxa"/>
            <w:vAlign w:val="bottom"/>
            <w:tcBorders>
              <w:right w:val="single" w:sz="8" w:color="auto"/>
            </w:tcBorders>
          </w:tcPr>
          <w:p>
            <w:pPr>
              <w:jc w:val="center"/>
              <w:ind w:right="148"/>
              <w:spacing w:after="0" w:line="147" w:lineRule="exact"/>
              <w:rPr>
                <w:sz w:val="20"/>
                <w:szCs w:val="20"/>
                <w:color w:val="auto"/>
              </w:rPr>
            </w:pPr>
            <w:r>
              <w:rPr>
                <w:rFonts w:ascii="Times New Roman" w:cs="Times New Roman" w:eastAsia="Times New Roman" w:hAnsi="Times New Roman"/>
                <w:sz w:val="14"/>
                <w:szCs w:val="14"/>
                <w:b w:val="1"/>
                <w:bCs w:val="1"/>
                <w:color w:val="auto"/>
              </w:rPr>
              <w:t>Have Not</w:t>
            </w:r>
          </w:p>
        </w:tc>
      </w:tr>
      <w:tr>
        <w:trPr>
          <w:trHeight w:val="162"/>
        </w:trPr>
        <w:tc>
          <w:tcPr>
            <w:tcW w:w="1440" w:type="dxa"/>
            <w:vAlign w:val="bottom"/>
            <w:tcBorders>
              <w:lef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80" w:type="dxa"/>
            <w:vAlign w:val="bottom"/>
          </w:tcPr>
          <w:p>
            <w:pPr>
              <w:spacing w:after="0"/>
              <w:rPr>
                <w:sz w:val="14"/>
                <w:szCs w:val="14"/>
                <w:color w:val="auto"/>
              </w:rPr>
            </w:pPr>
          </w:p>
        </w:tc>
        <w:tc>
          <w:tcPr>
            <w:tcW w:w="1340" w:type="dxa"/>
            <w:vAlign w:val="bottom"/>
            <w:tcBorders>
              <w:right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 Not</w:t>
            </w:r>
          </w:p>
        </w:tc>
        <w:tc>
          <w:tcPr>
            <w:tcW w:w="200" w:type="dxa"/>
            <w:vAlign w:val="bottom"/>
          </w:tcPr>
          <w:p>
            <w:pPr>
              <w:spacing w:after="0"/>
              <w:rPr>
                <w:sz w:val="14"/>
                <w:szCs w:val="14"/>
                <w:color w:val="auto"/>
              </w:rPr>
            </w:pPr>
          </w:p>
        </w:tc>
        <w:tc>
          <w:tcPr>
            <w:tcW w:w="920" w:type="dxa"/>
            <w:vAlign w:val="bottom"/>
            <w:tcBorders>
              <w:right w:val="single" w:sz="8" w:color="auto"/>
            </w:tcBorders>
          </w:tcPr>
          <w:p>
            <w:pPr>
              <w:jc w:val="center"/>
              <w:ind w:right="148"/>
              <w:spacing w:after="0" w:line="162" w:lineRule="exact"/>
              <w:rPr>
                <w:sz w:val="20"/>
                <w:szCs w:val="20"/>
                <w:color w:val="auto"/>
              </w:rPr>
            </w:pPr>
            <w:r>
              <w:rPr>
                <w:rFonts w:ascii="Times New Roman" w:cs="Times New Roman" w:eastAsia="Times New Roman" w:hAnsi="Times New Roman"/>
                <w:sz w:val="11"/>
                <w:szCs w:val="11"/>
                <w:b w:val="1"/>
                <w:bCs w:val="1"/>
                <w:color w:val="auto"/>
              </w:rPr>
              <w:t>Vested</w:t>
            </w:r>
            <w:r>
              <w:rPr>
                <w:rFonts w:ascii="Times New Roman" w:cs="Times New Roman" w:eastAsia="Times New Roman" w:hAnsi="Times New Roman"/>
                <w:sz w:val="18"/>
                <w:szCs w:val="18"/>
                <w:b w:val="1"/>
                <w:bCs w:val="1"/>
                <w:color w:val="auto"/>
                <w:vertAlign w:val="superscript"/>
              </w:rPr>
              <w:t>(4)</w:t>
            </w:r>
          </w:p>
        </w:tc>
      </w:tr>
      <w:tr>
        <w:trPr>
          <w:trHeight w:val="203"/>
        </w:trPr>
        <w:tc>
          <w:tcPr>
            <w:tcW w:w="1660" w:type="dxa"/>
            <w:vAlign w:val="bottom"/>
            <w:tcBorders>
              <w:left w:val="single" w:sz="8" w:color="auto"/>
              <w:bottom w:val="single" w:sz="8" w:color="auto"/>
              <w:right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Borders>
              <w:bottom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Exercisable</w:t>
            </w:r>
            <w:r>
              <w:rPr>
                <w:rFonts w:ascii="Times New Roman" w:cs="Times New Roman" w:eastAsia="Times New Roman" w:hAnsi="Times New Roman"/>
                <w:sz w:val="23"/>
                <w:szCs w:val="23"/>
                <w:b w:val="1"/>
                <w:bCs w:val="1"/>
                <w:color w:val="auto"/>
                <w:w w:val="96"/>
                <w:vertAlign w:val="superscript"/>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20" w:type="dxa"/>
            <w:vAlign w:val="bottom"/>
            <w:tcBorders>
              <w:bottom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w w:val="96"/>
                <w:vertAlign w:val="subscript"/>
              </w:rPr>
              <w:t>Vested</w:t>
            </w:r>
            <w:r>
              <w:rPr>
                <w:rFonts w:ascii="Times New Roman" w:cs="Times New Roman" w:eastAsia="Times New Roman" w:hAnsi="Times New Roman"/>
                <w:sz w:val="11"/>
                <w:szCs w:val="11"/>
                <w:b w:val="1"/>
                <w:bCs w:val="1"/>
                <w:color w:val="auto"/>
                <w:w w:val="96"/>
              </w:rPr>
              <w:t>(2) (3)</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1440" w:type="dxa"/>
            <w:vAlign w:val="bottom"/>
            <w:tcBorders>
              <w:left w:val="single" w:sz="8" w:color="auto"/>
            </w:tcBorders>
            <w:shd w:val="clear" w:color="auto" w:fill="CCEDFF"/>
          </w:tcPr>
          <w:p>
            <w:pPr>
              <w:spacing w:after="0"/>
              <w:rPr>
                <w:sz w:val="19"/>
                <w:szCs w:val="19"/>
                <w:color w:val="auto"/>
              </w:rPr>
            </w:pPr>
          </w:p>
        </w:tc>
        <w:tc>
          <w:tcPr>
            <w:tcW w:w="220" w:type="dxa"/>
            <w:vAlign w:val="bottom"/>
            <w:tcBorders>
              <w:right w:val="single" w:sz="8" w:color="auto"/>
            </w:tcBorders>
            <w:shd w:val="clear" w:color="auto" w:fill="CCEDFF"/>
          </w:tcPr>
          <w:p>
            <w:pPr>
              <w:spacing w:after="0"/>
              <w:rPr>
                <w:sz w:val="19"/>
                <w:szCs w:val="19"/>
                <w:color w:val="auto"/>
              </w:rPr>
            </w:pPr>
          </w:p>
        </w:tc>
        <w:tc>
          <w:tcPr>
            <w:tcW w:w="1360" w:type="dxa"/>
            <w:vAlign w:val="bottom"/>
            <w:tcBorders>
              <w:right w:val="single" w:sz="8" w:color="auto"/>
            </w:tcBorders>
            <w:shd w:val="clear" w:color="auto" w:fill="CCEDFF"/>
          </w:tcPr>
          <w:p>
            <w:pPr>
              <w:jc w:val="right"/>
              <w:ind w:right="57"/>
              <w:spacing w:after="0"/>
              <w:rPr>
                <w:sz w:val="20"/>
                <w:szCs w:val="20"/>
                <w:color w:val="auto"/>
              </w:rPr>
            </w:pPr>
            <w:r>
              <w:rPr>
                <w:rFonts w:ascii="Times New Roman" w:cs="Times New Roman" w:eastAsia="Times New Roman" w:hAnsi="Times New Roman"/>
                <w:sz w:val="18"/>
                <w:szCs w:val="18"/>
                <w:color w:val="auto"/>
              </w:rPr>
              <w:t>15,000</w:t>
            </w:r>
          </w:p>
        </w:tc>
        <w:tc>
          <w:tcPr>
            <w:tcW w:w="1340" w:type="dxa"/>
            <w:vAlign w:val="bottom"/>
            <w:tcBorders>
              <w:right w:val="single" w:sz="8" w:color="auto"/>
            </w:tcBorders>
            <w:shd w:val="clear" w:color="auto" w:fill="CCED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CEDFF"/>
          </w:tcPr>
          <w:p>
            <w:pPr>
              <w:jc w:val="right"/>
              <w:ind w:right="33"/>
              <w:spacing w:after="0"/>
              <w:rPr>
                <w:sz w:val="20"/>
                <w:szCs w:val="20"/>
                <w:color w:val="auto"/>
              </w:rPr>
            </w:pPr>
            <w:r>
              <w:rPr>
                <w:rFonts w:ascii="Times New Roman" w:cs="Times New Roman" w:eastAsia="Times New Roman" w:hAnsi="Times New Roman"/>
                <w:sz w:val="18"/>
                <w:szCs w:val="18"/>
                <w:color w:val="auto"/>
              </w:rPr>
              <w:t>13.88</w:t>
            </w:r>
          </w:p>
        </w:tc>
        <w:tc>
          <w:tcPr>
            <w:tcW w:w="1240" w:type="dxa"/>
            <w:vAlign w:val="bottom"/>
            <w:tcBorders>
              <w:right w:val="single" w:sz="8" w:color="auto"/>
            </w:tcBorders>
            <w:shd w:val="clear" w:color="auto" w:fill="CCEDFF"/>
          </w:tcPr>
          <w:p>
            <w:pPr>
              <w:jc w:val="right"/>
              <w:ind w:right="54"/>
              <w:spacing w:after="0"/>
              <w:rPr>
                <w:sz w:val="20"/>
                <w:szCs w:val="20"/>
                <w:color w:val="auto"/>
              </w:rPr>
            </w:pPr>
            <w:r>
              <w:rPr>
                <w:rFonts w:ascii="Times New Roman" w:cs="Times New Roman" w:eastAsia="Times New Roman" w:hAnsi="Times New Roman"/>
                <w:sz w:val="18"/>
                <w:szCs w:val="18"/>
                <w:color w:val="auto"/>
              </w:rPr>
              <w:t>6/30/2018</w:t>
            </w:r>
          </w:p>
        </w:tc>
        <w:tc>
          <w:tcPr>
            <w:tcW w:w="1320" w:type="dxa"/>
            <w:vAlign w:val="bottom"/>
            <w:tcBorders>
              <w:right w:val="single" w:sz="8" w:color="auto"/>
            </w:tcBorders>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920" w:type="dxa"/>
            <w:vAlign w:val="bottom"/>
            <w:tcBorders>
              <w:right w:val="single" w:sz="8" w:color="auto"/>
            </w:tcBorders>
            <w:shd w:val="clear" w:color="auto" w:fill="CCEDFF"/>
          </w:tcPr>
          <w:p>
            <w:pPr>
              <w:spacing w:after="0"/>
              <w:rPr>
                <w:sz w:val="19"/>
                <w:szCs w:val="19"/>
                <w:color w:val="auto"/>
              </w:rPr>
            </w:pPr>
          </w:p>
        </w:tc>
      </w:tr>
      <w:tr>
        <w:trPr>
          <w:trHeight w:val="238"/>
        </w:trPr>
        <w:tc>
          <w:tcPr>
            <w:tcW w:w="1440" w:type="dxa"/>
            <w:vAlign w:val="bottom"/>
            <w:tcBorders>
              <w:left w:val="single" w:sz="8" w:color="auto"/>
            </w:tcBorders>
            <w:shd w:val="clear" w:color="auto" w:fill="CCEDFF"/>
          </w:tcPr>
          <w:p>
            <w:pPr>
              <w:spacing w:after="0"/>
              <w:rPr>
                <w:sz w:val="20"/>
                <w:szCs w:val="20"/>
                <w:color w:val="auto"/>
              </w:rPr>
            </w:pPr>
          </w:p>
        </w:tc>
        <w:tc>
          <w:tcPr>
            <w:tcW w:w="220" w:type="dxa"/>
            <w:vAlign w:val="bottom"/>
            <w:tcBorders>
              <w:right w:val="single" w:sz="8" w:color="auto"/>
            </w:tcBorders>
            <w:shd w:val="clear" w:color="auto" w:fill="CCEDFF"/>
          </w:tcPr>
          <w:p>
            <w:pPr>
              <w:spacing w:after="0"/>
              <w:rPr>
                <w:sz w:val="20"/>
                <w:szCs w:val="20"/>
                <w:color w:val="auto"/>
              </w:rPr>
            </w:pPr>
          </w:p>
        </w:tc>
        <w:tc>
          <w:tcPr>
            <w:tcW w:w="1360" w:type="dxa"/>
            <w:vAlign w:val="bottom"/>
            <w:tcBorders>
              <w:right w:val="single" w:sz="8" w:color="auto"/>
            </w:tcBorders>
            <w:shd w:val="clear" w:color="auto" w:fill="CCEDFF"/>
          </w:tcPr>
          <w:p>
            <w:pPr>
              <w:jc w:val="right"/>
              <w:ind w:right="57"/>
              <w:spacing w:after="0"/>
              <w:rPr>
                <w:sz w:val="20"/>
                <w:szCs w:val="20"/>
                <w:color w:val="auto"/>
              </w:rPr>
            </w:pPr>
            <w:r>
              <w:rPr>
                <w:rFonts w:ascii="Times New Roman" w:cs="Times New Roman" w:eastAsia="Times New Roman" w:hAnsi="Times New Roman"/>
                <w:sz w:val="18"/>
                <w:szCs w:val="18"/>
                <w:color w:val="auto"/>
              </w:rPr>
              <w:t>15,000</w:t>
            </w:r>
          </w:p>
        </w:tc>
        <w:tc>
          <w:tcPr>
            <w:tcW w:w="1340" w:type="dxa"/>
            <w:vAlign w:val="bottom"/>
            <w:tcBorders>
              <w:right w:val="single" w:sz="8" w:color="auto"/>
            </w:tcBorders>
            <w:shd w:val="clear" w:color="auto" w:fill="CCED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CEDFF"/>
          </w:tcPr>
          <w:p>
            <w:pPr>
              <w:jc w:val="right"/>
              <w:ind w:right="33"/>
              <w:spacing w:after="0"/>
              <w:rPr>
                <w:sz w:val="20"/>
                <w:szCs w:val="20"/>
                <w:color w:val="auto"/>
              </w:rPr>
            </w:pPr>
            <w:r>
              <w:rPr>
                <w:rFonts w:ascii="Times New Roman" w:cs="Times New Roman" w:eastAsia="Times New Roman" w:hAnsi="Times New Roman"/>
                <w:sz w:val="18"/>
                <w:szCs w:val="18"/>
                <w:color w:val="auto"/>
              </w:rPr>
              <w:t>9.22</w:t>
            </w:r>
          </w:p>
        </w:tc>
        <w:tc>
          <w:tcPr>
            <w:tcW w:w="1240" w:type="dxa"/>
            <w:vAlign w:val="bottom"/>
            <w:tcBorders>
              <w:right w:val="single" w:sz="8" w:color="auto"/>
            </w:tcBorders>
            <w:shd w:val="clear" w:color="auto" w:fill="CCEDFF"/>
          </w:tcPr>
          <w:p>
            <w:pPr>
              <w:jc w:val="right"/>
              <w:ind w:right="54"/>
              <w:spacing w:after="0"/>
              <w:rPr>
                <w:sz w:val="20"/>
                <w:szCs w:val="20"/>
                <w:color w:val="auto"/>
              </w:rPr>
            </w:pPr>
            <w:r>
              <w:rPr>
                <w:rFonts w:ascii="Times New Roman" w:cs="Times New Roman" w:eastAsia="Times New Roman" w:hAnsi="Times New Roman"/>
                <w:sz w:val="18"/>
                <w:szCs w:val="18"/>
                <w:color w:val="auto"/>
              </w:rPr>
              <w:t>6/30/2020</w:t>
            </w:r>
          </w:p>
        </w:tc>
        <w:tc>
          <w:tcPr>
            <w:tcW w:w="1320" w:type="dxa"/>
            <w:vAlign w:val="bottom"/>
            <w:tcBorders>
              <w:right w:val="single" w:sz="8" w:color="auto"/>
            </w:tcBorders>
            <w:shd w:val="clear" w:color="auto" w:fill="CCEDFF"/>
          </w:tcPr>
          <w:p>
            <w:pPr>
              <w:spacing w:after="0"/>
              <w:rPr>
                <w:sz w:val="20"/>
                <w:szCs w:val="20"/>
                <w:color w:val="auto"/>
              </w:rPr>
            </w:pPr>
          </w:p>
        </w:tc>
        <w:tc>
          <w:tcPr>
            <w:tcW w:w="200" w:type="dxa"/>
            <w:vAlign w:val="bottom"/>
            <w:shd w:val="clear" w:color="auto" w:fill="CCEDFF"/>
          </w:tcPr>
          <w:p>
            <w:pPr>
              <w:spacing w:after="0"/>
              <w:rPr>
                <w:sz w:val="20"/>
                <w:szCs w:val="20"/>
                <w:color w:val="auto"/>
              </w:rPr>
            </w:pPr>
          </w:p>
        </w:tc>
        <w:tc>
          <w:tcPr>
            <w:tcW w:w="920" w:type="dxa"/>
            <w:vAlign w:val="bottom"/>
            <w:tcBorders>
              <w:right w:val="single" w:sz="8" w:color="auto"/>
            </w:tcBorders>
            <w:shd w:val="clear" w:color="auto" w:fill="CCEDFF"/>
          </w:tcPr>
          <w:p>
            <w:pPr>
              <w:spacing w:after="0"/>
              <w:rPr>
                <w:sz w:val="20"/>
                <w:szCs w:val="20"/>
                <w:color w:val="auto"/>
              </w:rPr>
            </w:pPr>
          </w:p>
        </w:tc>
      </w:tr>
      <w:tr>
        <w:trPr>
          <w:trHeight w:val="243"/>
        </w:trPr>
        <w:tc>
          <w:tcPr>
            <w:tcW w:w="1440" w:type="dxa"/>
            <w:vAlign w:val="bottom"/>
            <w:tcBorders>
              <w:left w:val="single" w:sz="8" w:color="auto"/>
            </w:tcBorders>
            <w:shd w:val="clear" w:color="auto" w:fill="CCEDFF"/>
          </w:tcPr>
          <w:p>
            <w:pPr>
              <w:spacing w:after="0"/>
              <w:rPr>
                <w:sz w:val="21"/>
                <w:szCs w:val="21"/>
                <w:color w:val="auto"/>
              </w:rPr>
            </w:pPr>
          </w:p>
        </w:tc>
        <w:tc>
          <w:tcPr>
            <w:tcW w:w="220" w:type="dxa"/>
            <w:vAlign w:val="bottom"/>
            <w:tcBorders>
              <w:right w:val="single" w:sz="8" w:color="auto"/>
            </w:tcBorders>
            <w:shd w:val="clear" w:color="auto" w:fill="CCEDFF"/>
          </w:tcPr>
          <w:p>
            <w:pPr>
              <w:spacing w:after="0"/>
              <w:rPr>
                <w:sz w:val="21"/>
                <w:szCs w:val="21"/>
                <w:color w:val="auto"/>
              </w:rPr>
            </w:pPr>
          </w:p>
        </w:tc>
        <w:tc>
          <w:tcPr>
            <w:tcW w:w="1360" w:type="dxa"/>
            <w:vAlign w:val="bottom"/>
            <w:tcBorders>
              <w:right w:val="single" w:sz="8" w:color="auto"/>
            </w:tcBorders>
            <w:shd w:val="clear" w:color="auto" w:fill="CCEDFF"/>
          </w:tcPr>
          <w:p>
            <w:pPr>
              <w:jc w:val="right"/>
              <w:ind w:right="57"/>
              <w:spacing w:after="0"/>
              <w:rPr>
                <w:sz w:val="20"/>
                <w:szCs w:val="20"/>
                <w:color w:val="auto"/>
              </w:rPr>
            </w:pPr>
            <w:r>
              <w:rPr>
                <w:rFonts w:ascii="Times New Roman" w:cs="Times New Roman" w:eastAsia="Times New Roman" w:hAnsi="Times New Roman"/>
                <w:sz w:val="18"/>
                <w:szCs w:val="18"/>
                <w:color w:val="auto"/>
              </w:rPr>
              <w:t>15,000</w:t>
            </w:r>
          </w:p>
        </w:tc>
        <w:tc>
          <w:tcPr>
            <w:tcW w:w="1340" w:type="dxa"/>
            <w:vAlign w:val="bottom"/>
            <w:tcBorders>
              <w:right w:val="single" w:sz="8" w:color="auto"/>
            </w:tcBorders>
            <w:shd w:val="clear" w:color="auto" w:fill="CCED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CEDFF"/>
          </w:tcPr>
          <w:p>
            <w:pPr>
              <w:jc w:val="right"/>
              <w:ind w:right="33"/>
              <w:spacing w:after="0"/>
              <w:rPr>
                <w:sz w:val="20"/>
                <w:szCs w:val="20"/>
                <w:color w:val="auto"/>
              </w:rPr>
            </w:pPr>
            <w:r>
              <w:rPr>
                <w:rFonts w:ascii="Times New Roman" w:cs="Times New Roman" w:eastAsia="Times New Roman" w:hAnsi="Times New Roman"/>
                <w:sz w:val="18"/>
                <w:szCs w:val="18"/>
                <w:color w:val="auto"/>
              </w:rPr>
              <w:t>9.30</w:t>
            </w:r>
          </w:p>
        </w:tc>
        <w:tc>
          <w:tcPr>
            <w:tcW w:w="1240" w:type="dxa"/>
            <w:vAlign w:val="bottom"/>
            <w:tcBorders>
              <w:right w:val="single" w:sz="8" w:color="auto"/>
            </w:tcBorders>
            <w:shd w:val="clear" w:color="auto" w:fill="CCEDFF"/>
          </w:tcPr>
          <w:p>
            <w:pPr>
              <w:jc w:val="right"/>
              <w:ind w:right="54"/>
              <w:spacing w:after="0"/>
              <w:rPr>
                <w:sz w:val="20"/>
                <w:szCs w:val="20"/>
                <w:color w:val="auto"/>
              </w:rPr>
            </w:pPr>
            <w:r>
              <w:rPr>
                <w:rFonts w:ascii="Times New Roman" w:cs="Times New Roman" w:eastAsia="Times New Roman" w:hAnsi="Times New Roman"/>
                <w:sz w:val="18"/>
                <w:szCs w:val="18"/>
                <w:color w:val="auto"/>
              </w:rPr>
              <w:t>6/30/2021</w:t>
            </w:r>
          </w:p>
        </w:tc>
        <w:tc>
          <w:tcPr>
            <w:tcW w:w="1320" w:type="dxa"/>
            <w:vAlign w:val="bottom"/>
            <w:tcBorders>
              <w:right w:val="single" w:sz="8" w:color="auto"/>
            </w:tcBorders>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920" w:type="dxa"/>
            <w:vAlign w:val="bottom"/>
            <w:tcBorders>
              <w:right w:val="single" w:sz="8" w:color="auto"/>
            </w:tcBorders>
            <w:shd w:val="clear" w:color="auto" w:fill="CCEDFF"/>
          </w:tcPr>
          <w:p>
            <w:pPr>
              <w:spacing w:after="0"/>
              <w:rPr>
                <w:sz w:val="21"/>
                <w:szCs w:val="21"/>
                <w:color w:val="auto"/>
              </w:rPr>
            </w:pPr>
          </w:p>
        </w:tc>
      </w:tr>
      <w:tr>
        <w:trPr>
          <w:trHeight w:val="243"/>
        </w:trPr>
        <w:tc>
          <w:tcPr>
            <w:tcW w:w="1440" w:type="dxa"/>
            <w:vAlign w:val="bottom"/>
            <w:tcBorders>
              <w:left w:val="single" w:sz="8" w:color="auto"/>
            </w:tcBorders>
            <w:shd w:val="clear" w:color="auto" w:fill="CCEDFF"/>
          </w:tcPr>
          <w:p>
            <w:pPr>
              <w:spacing w:after="0"/>
              <w:rPr>
                <w:sz w:val="21"/>
                <w:szCs w:val="21"/>
                <w:color w:val="auto"/>
              </w:rPr>
            </w:pPr>
          </w:p>
        </w:tc>
        <w:tc>
          <w:tcPr>
            <w:tcW w:w="220" w:type="dxa"/>
            <w:vAlign w:val="bottom"/>
            <w:tcBorders>
              <w:right w:val="single" w:sz="8" w:color="auto"/>
            </w:tcBorders>
            <w:shd w:val="clear" w:color="auto" w:fill="CCEDFF"/>
          </w:tcPr>
          <w:p>
            <w:pPr>
              <w:spacing w:after="0"/>
              <w:rPr>
                <w:sz w:val="21"/>
                <w:szCs w:val="21"/>
                <w:color w:val="auto"/>
              </w:rPr>
            </w:pPr>
          </w:p>
        </w:tc>
        <w:tc>
          <w:tcPr>
            <w:tcW w:w="1360" w:type="dxa"/>
            <w:vAlign w:val="bottom"/>
            <w:tcBorders>
              <w:right w:val="single" w:sz="8" w:color="auto"/>
            </w:tcBorders>
            <w:shd w:val="clear" w:color="auto" w:fill="CCEDFF"/>
          </w:tcPr>
          <w:p>
            <w:pPr>
              <w:jc w:val="right"/>
              <w:ind w:right="57"/>
              <w:spacing w:after="0"/>
              <w:rPr>
                <w:sz w:val="20"/>
                <w:szCs w:val="20"/>
                <w:color w:val="auto"/>
              </w:rPr>
            </w:pPr>
            <w:r>
              <w:rPr>
                <w:rFonts w:ascii="Times New Roman" w:cs="Times New Roman" w:eastAsia="Times New Roman" w:hAnsi="Times New Roman"/>
                <w:sz w:val="18"/>
                <w:szCs w:val="18"/>
                <w:color w:val="auto"/>
              </w:rPr>
              <w:t>11,250</w:t>
            </w:r>
          </w:p>
        </w:tc>
        <w:tc>
          <w:tcPr>
            <w:tcW w:w="1340" w:type="dxa"/>
            <w:vAlign w:val="bottom"/>
            <w:tcBorders>
              <w:right w:val="single" w:sz="8" w:color="auto"/>
            </w:tcBorders>
            <w:shd w:val="clear" w:color="auto" w:fill="CCED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CEDFF"/>
          </w:tcPr>
          <w:p>
            <w:pPr>
              <w:jc w:val="right"/>
              <w:ind w:right="33"/>
              <w:spacing w:after="0"/>
              <w:rPr>
                <w:sz w:val="20"/>
                <w:szCs w:val="20"/>
                <w:color w:val="auto"/>
              </w:rPr>
            </w:pPr>
            <w:r>
              <w:rPr>
                <w:rFonts w:ascii="Times New Roman" w:cs="Times New Roman" w:eastAsia="Times New Roman" w:hAnsi="Times New Roman"/>
                <w:sz w:val="18"/>
                <w:szCs w:val="18"/>
                <w:color w:val="auto"/>
              </w:rPr>
              <w:t>12.94</w:t>
            </w:r>
          </w:p>
        </w:tc>
        <w:tc>
          <w:tcPr>
            <w:tcW w:w="1240" w:type="dxa"/>
            <w:vAlign w:val="bottom"/>
            <w:tcBorders>
              <w:right w:val="single" w:sz="8" w:color="auto"/>
            </w:tcBorders>
            <w:shd w:val="clear" w:color="auto" w:fill="CCEDFF"/>
          </w:tcPr>
          <w:p>
            <w:pPr>
              <w:jc w:val="right"/>
              <w:ind w:right="54"/>
              <w:spacing w:after="0"/>
              <w:rPr>
                <w:sz w:val="20"/>
                <w:szCs w:val="20"/>
                <w:color w:val="auto"/>
              </w:rPr>
            </w:pPr>
            <w:r>
              <w:rPr>
                <w:rFonts w:ascii="Times New Roman" w:cs="Times New Roman" w:eastAsia="Times New Roman" w:hAnsi="Times New Roman"/>
                <w:sz w:val="18"/>
                <w:szCs w:val="18"/>
                <w:color w:val="auto"/>
              </w:rPr>
              <w:t>7/1/2022</w:t>
            </w:r>
          </w:p>
        </w:tc>
        <w:tc>
          <w:tcPr>
            <w:tcW w:w="1320" w:type="dxa"/>
            <w:vAlign w:val="bottom"/>
            <w:tcBorders>
              <w:right w:val="single" w:sz="8" w:color="auto"/>
            </w:tcBorders>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920" w:type="dxa"/>
            <w:vAlign w:val="bottom"/>
            <w:tcBorders>
              <w:right w:val="single" w:sz="8" w:color="auto"/>
            </w:tcBorders>
            <w:shd w:val="clear" w:color="auto" w:fill="CCEDFF"/>
          </w:tcPr>
          <w:p>
            <w:pPr>
              <w:spacing w:after="0"/>
              <w:rPr>
                <w:sz w:val="21"/>
                <w:szCs w:val="21"/>
                <w:color w:val="auto"/>
              </w:rPr>
            </w:pPr>
          </w:p>
        </w:tc>
      </w:tr>
      <w:tr>
        <w:trPr>
          <w:trHeight w:val="243"/>
        </w:trPr>
        <w:tc>
          <w:tcPr>
            <w:tcW w:w="1660" w:type="dxa"/>
            <w:vAlign w:val="bottom"/>
            <w:tcBorders>
              <w:left w:val="single" w:sz="8" w:color="auto"/>
              <w:right w:val="single" w:sz="8" w:color="auto"/>
            </w:tcBorders>
            <w:gridSpan w:val="2"/>
            <w:shd w:val="clear" w:color="auto" w:fill="CCEDFF"/>
          </w:tcPr>
          <w:p>
            <w:pPr>
              <w:ind w:left="60"/>
              <w:spacing w:after="0"/>
              <w:rPr>
                <w:sz w:val="20"/>
                <w:szCs w:val="20"/>
                <w:color w:val="auto"/>
              </w:rPr>
            </w:pPr>
            <w:r>
              <w:rPr>
                <w:rFonts w:ascii="Times New Roman" w:cs="Times New Roman" w:eastAsia="Times New Roman" w:hAnsi="Times New Roman"/>
                <w:sz w:val="18"/>
                <w:szCs w:val="18"/>
                <w:color w:val="auto"/>
              </w:rPr>
              <w:t>Joseph H. Wender</w:t>
            </w:r>
          </w:p>
        </w:tc>
        <w:tc>
          <w:tcPr>
            <w:tcW w:w="1360" w:type="dxa"/>
            <w:vAlign w:val="bottom"/>
            <w:tcBorders>
              <w:right w:val="single" w:sz="8" w:color="auto"/>
            </w:tcBorders>
            <w:shd w:val="clear" w:color="auto" w:fill="CCEDFF"/>
          </w:tcPr>
          <w:p>
            <w:pPr>
              <w:jc w:val="right"/>
              <w:ind w:right="57"/>
              <w:spacing w:after="0"/>
              <w:rPr>
                <w:sz w:val="20"/>
                <w:szCs w:val="20"/>
                <w:color w:val="auto"/>
              </w:rPr>
            </w:pPr>
            <w:r>
              <w:rPr>
                <w:rFonts w:ascii="Times New Roman" w:cs="Times New Roman" w:eastAsia="Times New Roman" w:hAnsi="Times New Roman"/>
                <w:sz w:val="18"/>
                <w:szCs w:val="18"/>
                <w:color w:val="auto"/>
              </w:rPr>
              <w:t>11,250</w:t>
            </w:r>
          </w:p>
        </w:tc>
        <w:tc>
          <w:tcPr>
            <w:tcW w:w="1340" w:type="dxa"/>
            <w:vAlign w:val="bottom"/>
            <w:tcBorders>
              <w:right w:val="single" w:sz="8" w:color="auto"/>
            </w:tcBorders>
            <w:shd w:val="clear" w:color="auto" w:fill="CCED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CEDFF"/>
          </w:tcPr>
          <w:p>
            <w:pPr>
              <w:jc w:val="right"/>
              <w:ind w:right="33"/>
              <w:spacing w:after="0"/>
              <w:rPr>
                <w:sz w:val="20"/>
                <w:szCs w:val="20"/>
                <w:color w:val="auto"/>
              </w:rPr>
            </w:pPr>
            <w:r>
              <w:rPr>
                <w:rFonts w:ascii="Times New Roman" w:cs="Times New Roman" w:eastAsia="Times New Roman" w:hAnsi="Times New Roman"/>
                <w:sz w:val="18"/>
                <w:szCs w:val="18"/>
                <w:color w:val="auto"/>
              </w:rPr>
              <w:t>28.47</w:t>
            </w:r>
          </w:p>
        </w:tc>
        <w:tc>
          <w:tcPr>
            <w:tcW w:w="1240" w:type="dxa"/>
            <w:vAlign w:val="bottom"/>
            <w:tcBorders>
              <w:right w:val="single" w:sz="8" w:color="auto"/>
            </w:tcBorders>
            <w:shd w:val="clear" w:color="auto" w:fill="CCEDFF"/>
          </w:tcPr>
          <w:p>
            <w:pPr>
              <w:jc w:val="right"/>
              <w:ind w:right="54"/>
              <w:spacing w:after="0"/>
              <w:rPr>
                <w:sz w:val="20"/>
                <w:szCs w:val="20"/>
                <w:color w:val="auto"/>
              </w:rPr>
            </w:pPr>
            <w:r>
              <w:rPr>
                <w:rFonts w:ascii="Times New Roman" w:cs="Times New Roman" w:eastAsia="Times New Roman" w:hAnsi="Times New Roman"/>
                <w:sz w:val="18"/>
                <w:szCs w:val="18"/>
                <w:color w:val="auto"/>
              </w:rPr>
              <w:t>6/30/2023</w:t>
            </w:r>
          </w:p>
        </w:tc>
        <w:tc>
          <w:tcPr>
            <w:tcW w:w="1320" w:type="dxa"/>
            <w:vAlign w:val="bottom"/>
            <w:tcBorders>
              <w:right w:val="single" w:sz="8" w:color="auto"/>
            </w:tcBorders>
            <w:shd w:val="clear" w:color="auto" w:fill="CCEDFF"/>
          </w:tcPr>
          <w:p>
            <w:pPr>
              <w:ind w:left="780"/>
              <w:spacing w:after="0"/>
              <w:rPr>
                <w:sz w:val="20"/>
                <w:szCs w:val="20"/>
                <w:color w:val="auto"/>
              </w:rPr>
            </w:pPr>
            <w:r>
              <w:rPr>
                <w:rFonts w:ascii="Times New Roman" w:cs="Times New Roman" w:eastAsia="Times New Roman" w:hAnsi="Times New Roman"/>
                <w:sz w:val="18"/>
                <w:szCs w:val="18"/>
                <w:color w:val="auto"/>
              </w:rPr>
              <w:t>6,666</w:t>
            </w:r>
          </w:p>
        </w:tc>
        <w:tc>
          <w:tcPr>
            <w:tcW w:w="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DFF"/>
          </w:tcPr>
          <w:p>
            <w:pPr>
              <w:jc w:val="right"/>
              <w:ind w:right="48"/>
              <w:spacing w:after="0"/>
              <w:rPr>
                <w:sz w:val="20"/>
                <w:szCs w:val="20"/>
                <w:color w:val="auto"/>
              </w:rPr>
            </w:pPr>
            <w:r>
              <w:rPr>
                <w:rFonts w:ascii="Times New Roman" w:cs="Times New Roman" w:eastAsia="Times New Roman" w:hAnsi="Times New Roman"/>
                <w:sz w:val="18"/>
                <w:szCs w:val="18"/>
                <w:color w:val="auto"/>
              </w:rPr>
              <w:t>335,300</w:t>
            </w:r>
          </w:p>
        </w:tc>
      </w:tr>
      <w:tr>
        <w:trPr>
          <w:trHeight w:val="243"/>
        </w:trPr>
        <w:tc>
          <w:tcPr>
            <w:tcW w:w="1440" w:type="dxa"/>
            <w:vAlign w:val="bottom"/>
            <w:tcBorders>
              <w:left w:val="single" w:sz="8" w:color="auto"/>
            </w:tcBorders>
            <w:shd w:val="clear" w:color="auto" w:fill="CCEDFF"/>
          </w:tcPr>
          <w:p>
            <w:pPr>
              <w:spacing w:after="0"/>
              <w:rPr>
                <w:sz w:val="21"/>
                <w:szCs w:val="21"/>
                <w:color w:val="auto"/>
              </w:rPr>
            </w:pPr>
          </w:p>
        </w:tc>
        <w:tc>
          <w:tcPr>
            <w:tcW w:w="220" w:type="dxa"/>
            <w:vAlign w:val="bottom"/>
            <w:tcBorders>
              <w:right w:val="single" w:sz="8" w:color="auto"/>
            </w:tcBorders>
            <w:shd w:val="clear" w:color="auto" w:fill="CCEDFF"/>
          </w:tcPr>
          <w:p>
            <w:pPr>
              <w:spacing w:after="0"/>
              <w:rPr>
                <w:sz w:val="21"/>
                <w:szCs w:val="21"/>
                <w:color w:val="auto"/>
              </w:rPr>
            </w:pPr>
          </w:p>
        </w:tc>
        <w:tc>
          <w:tcPr>
            <w:tcW w:w="1360" w:type="dxa"/>
            <w:vAlign w:val="bottom"/>
            <w:tcBorders>
              <w:right w:val="single" w:sz="8" w:color="auto"/>
            </w:tcBorders>
            <w:shd w:val="clear" w:color="auto" w:fill="CCEDFF"/>
          </w:tcPr>
          <w:p>
            <w:pPr>
              <w:jc w:val="right"/>
              <w:ind w:right="57"/>
              <w:spacing w:after="0"/>
              <w:rPr>
                <w:sz w:val="20"/>
                <w:szCs w:val="20"/>
                <w:color w:val="auto"/>
              </w:rPr>
            </w:pPr>
            <w:r>
              <w:rPr>
                <w:rFonts w:ascii="Times New Roman" w:cs="Times New Roman" w:eastAsia="Times New Roman" w:hAnsi="Times New Roman"/>
                <w:sz w:val="18"/>
                <w:szCs w:val="18"/>
                <w:color w:val="auto"/>
              </w:rPr>
              <w:t>12,000</w:t>
            </w:r>
          </w:p>
        </w:tc>
        <w:tc>
          <w:tcPr>
            <w:tcW w:w="1340" w:type="dxa"/>
            <w:vAlign w:val="bottom"/>
            <w:tcBorders>
              <w:right w:val="single" w:sz="8" w:color="auto"/>
            </w:tcBorders>
            <w:shd w:val="clear" w:color="auto" w:fill="CCEDFF"/>
          </w:tcPr>
          <w:p>
            <w:pPr>
              <w:jc w:val="right"/>
              <w:ind w:right="38"/>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CEDFF"/>
          </w:tcPr>
          <w:p>
            <w:pPr>
              <w:jc w:val="right"/>
              <w:ind w:right="33"/>
              <w:spacing w:after="0"/>
              <w:rPr>
                <w:sz w:val="20"/>
                <w:szCs w:val="20"/>
                <w:color w:val="auto"/>
              </w:rPr>
            </w:pPr>
            <w:r>
              <w:rPr>
                <w:rFonts w:ascii="Times New Roman" w:cs="Times New Roman" w:eastAsia="Times New Roman" w:hAnsi="Times New Roman"/>
                <w:sz w:val="18"/>
                <w:szCs w:val="18"/>
                <w:color w:val="auto"/>
              </w:rPr>
              <w:t>35.53</w:t>
            </w:r>
          </w:p>
        </w:tc>
        <w:tc>
          <w:tcPr>
            <w:tcW w:w="1240" w:type="dxa"/>
            <w:vAlign w:val="bottom"/>
            <w:tcBorders>
              <w:right w:val="single" w:sz="8" w:color="auto"/>
            </w:tcBorders>
            <w:shd w:val="clear" w:color="auto" w:fill="CCEDFF"/>
          </w:tcPr>
          <w:p>
            <w:pPr>
              <w:jc w:val="right"/>
              <w:ind w:right="54"/>
              <w:spacing w:after="0"/>
              <w:rPr>
                <w:sz w:val="20"/>
                <w:szCs w:val="20"/>
                <w:color w:val="auto"/>
              </w:rPr>
            </w:pPr>
            <w:r>
              <w:rPr>
                <w:rFonts w:ascii="Times New Roman" w:cs="Times New Roman" w:eastAsia="Times New Roman" w:hAnsi="Times New Roman"/>
                <w:sz w:val="18"/>
                <w:szCs w:val="18"/>
                <w:color w:val="auto"/>
              </w:rPr>
              <w:t>6/30/2024</w:t>
            </w:r>
          </w:p>
        </w:tc>
        <w:tc>
          <w:tcPr>
            <w:tcW w:w="1320" w:type="dxa"/>
            <w:vAlign w:val="bottom"/>
            <w:tcBorders>
              <w:right w:val="single" w:sz="8" w:color="auto"/>
            </w:tcBorders>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920" w:type="dxa"/>
            <w:vAlign w:val="bottom"/>
            <w:tcBorders>
              <w:right w:val="single" w:sz="8" w:color="auto"/>
            </w:tcBorders>
            <w:shd w:val="clear" w:color="auto" w:fill="CCEDFF"/>
          </w:tcPr>
          <w:p>
            <w:pPr>
              <w:spacing w:after="0"/>
              <w:rPr>
                <w:sz w:val="21"/>
                <w:szCs w:val="21"/>
                <w:color w:val="auto"/>
              </w:rPr>
            </w:pPr>
          </w:p>
        </w:tc>
      </w:tr>
      <w:tr>
        <w:trPr>
          <w:trHeight w:val="243"/>
        </w:trPr>
        <w:tc>
          <w:tcPr>
            <w:tcW w:w="1440" w:type="dxa"/>
            <w:vAlign w:val="bottom"/>
            <w:tcBorders>
              <w:left w:val="single" w:sz="8" w:color="auto"/>
            </w:tcBorders>
            <w:shd w:val="clear" w:color="auto" w:fill="CCEDFF"/>
          </w:tcPr>
          <w:p>
            <w:pPr>
              <w:spacing w:after="0"/>
              <w:rPr>
                <w:sz w:val="21"/>
                <w:szCs w:val="21"/>
                <w:color w:val="auto"/>
              </w:rPr>
            </w:pPr>
          </w:p>
        </w:tc>
        <w:tc>
          <w:tcPr>
            <w:tcW w:w="220" w:type="dxa"/>
            <w:vAlign w:val="bottom"/>
            <w:tcBorders>
              <w:right w:val="single" w:sz="8" w:color="auto"/>
            </w:tcBorders>
            <w:shd w:val="clear" w:color="auto" w:fill="CCEDFF"/>
          </w:tcPr>
          <w:p>
            <w:pPr>
              <w:spacing w:after="0"/>
              <w:rPr>
                <w:sz w:val="21"/>
                <w:szCs w:val="21"/>
                <w:color w:val="auto"/>
              </w:rPr>
            </w:pPr>
          </w:p>
        </w:tc>
        <w:tc>
          <w:tcPr>
            <w:tcW w:w="1360" w:type="dxa"/>
            <w:vAlign w:val="bottom"/>
            <w:tcBorders>
              <w:right w:val="single" w:sz="8" w:color="auto"/>
            </w:tcBorders>
            <w:shd w:val="clear" w:color="auto" w:fill="CCEDFF"/>
          </w:tcPr>
          <w:p>
            <w:pPr>
              <w:jc w:val="right"/>
              <w:ind w:right="57"/>
              <w:spacing w:after="0"/>
              <w:rPr>
                <w:sz w:val="20"/>
                <w:szCs w:val="20"/>
                <w:color w:val="auto"/>
              </w:rPr>
            </w:pPr>
            <w:r>
              <w:rPr>
                <w:rFonts w:ascii="Times New Roman" w:cs="Times New Roman" w:eastAsia="Times New Roman" w:hAnsi="Times New Roman"/>
                <w:sz w:val="18"/>
                <w:szCs w:val="18"/>
                <w:color w:val="auto"/>
              </w:rPr>
              <w:t>8,000</w:t>
            </w:r>
          </w:p>
        </w:tc>
        <w:tc>
          <w:tcPr>
            <w:tcW w:w="1340" w:type="dxa"/>
            <w:vAlign w:val="bottom"/>
            <w:tcBorders>
              <w:right w:val="single" w:sz="8" w:color="auto"/>
            </w:tcBorders>
            <w:shd w:val="clear" w:color="auto" w:fill="CCEDFF"/>
          </w:tcPr>
          <w:p>
            <w:pPr>
              <w:jc w:val="right"/>
              <w:ind w:right="38"/>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CEDFF"/>
          </w:tcPr>
          <w:p>
            <w:pPr>
              <w:jc w:val="right"/>
              <w:ind w:right="33"/>
              <w:spacing w:after="0"/>
              <w:rPr>
                <w:sz w:val="20"/>
                <w:szCs w:val="20"/>
                <w:color w:val="auto"/>
              </w:rPr>
            </w:pPr>
            <w:r>
              <w:rPr>
                <w:rFonts w:ascii="Times New Roman" w:cs="Times New Roman" w:eastAsia="Times New Roman" w:hAnsi="Times New Roman"/>
                <w:sz w:val="18"/>
                <w:szCs w:val="18"/>
                <w:color w:val="auto"/>
              </w:rPr>
              <w:t>57.16</w:t>
            </w:r>
          </w:p>
        </w:tc>
        <w:tc>
          <w:tcPr>
            <w:tcW w:w="1240" w:type="dxa"/>
            <w:vAlign w:val="bottom"/>
            <w:tcBorders>
              <w:right w:val="single" w:sz="8" w:color="auto"/>
            </w:tcBorders>
            <w:shd w:val="clear" w:color="auto" w:fill="CCEDFF"/>
          </w:tcPr>
          <w:p>
            <w:pPr>
              <w:jc w:val="right"/>
              <w:ind w:right="54"/>
              <w:spacing w:after="0"/>
              <w:rPr>
                <w:sz w:val="20"/>
                <w:szCs w:val="20"/>
                <w:color w:val="auto"/>
              </w:rPr>
            </w:pPr>
            <w:r>
              <w:rPr>
                <w:rFonts w:ascii="Times New Roman" w:cs="Times New Roman" w:eastAsia="Times New Roman" w:hAnsi="Times New Roman"/>
                <w:sz w:val="18"/>
                <w:szCs w:val="18"/>
                <w:color w:val="auto"/>
              </w:rPr>
              <w:t>6/30/2025</w:t>
            </w:r>
          </w:p>
        </w:tc>
        <w:tc>
          <w:tcPr>
            <w:tcW w:w="1320" w:type="dxa"/>
            <w:vAlign w:val="bottom"/>
            <w:tcBorders>
              <w:right w:val="single" w:sz="8" w:color="auto"/>
            </w:tcBorders>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920" w:type="dxa"/>
            <w:vAlign w:val="bottom"/>
            <w:tcBorders>
              <w:right w:val="single" w:sz="8" w:color="auto"/>
            </w:tcBorders>
            <w:shd w:val="clear" w:color="auto" w:fill="CCEDFF"/>
          </w:tcPr>
          <w:p>
            <w:pPr>
              <w:spacing w:after="0"/>
              <w:rPr>
                <w:sz w:val="21"/>
                <w:szCs w:val="21"/>
                <w:color w:val="auto"/>
              </w:rPr>
            </w:pPr>
          </w:p>
        </w:tc>
      </w:tr>
      <w:tr>
        <w:trPr>
          <w:trHeight w:val="243"/>
        </w:trPr>
        <w:tc>
          <w:tcPr>
            <w:tcW w:w="1440" w:type="dxa"/>
            <w:vAlign w:val="bottom"/>
            <w:tcBorders>
              <w:left w:val="single" w:sz="8" w:color="auto"/>
            </w:tcBorders>
            <w:shd w:val="clear" w:color="auto" w:fill="CCEDFF"/>
          </w:tcPr>
          <w:p>
            <w:pPr>
              <w:spacing w:after="0"/>
              <w:rPr>
                <w:sz w:val="21"/>
                <w:szCs w:val="21"/>
                <w:color w:val="auto"/>
              </w:rPr>
            </w:pPr>
          </w:p>
        </w:tc>
        <w:tc>
          <w:tcPr>
            <w:tcW w:w="220" w:type="dxa"/>
            <w:vAlign w:val="bottom"/>
            <w:tcBorders>
              <w:right w:val="single" w:sz="8" w:color="auto"/>
            </w:tcBorders>
            <w:shd w:val="clear" w:color="auto" w:fill="CCEDFF"/>
          </w:tcPr>
          <w:p>
            <w:pPr>
              <w:spacing w:after="0"/>
              <w:rPr>
                <w:sz w:val="21"/>
                <w:szCs w:val="21"/>
                <w:color w:val="auto"/>
              </w:rPr>
            </w:pPr>
          </w:p>
        </w:tc>
        <w:tc>
          <w:tcPr>
            <w:tcW w:w="1360" w:type="dxa"/>
            <w:vAlign w:val="bottom"/>
            <w:tcBorders>
              <w:right w:val="single" w:sz="8" w:color="auto"/>
            </w:tcBorders>
            <w:shd w:val="clear" w:color="auto" w:fill="CCEDFF"/>
          </w:tcPr>
          <w:p>
            <w:pPr>
              <w:jc w:val="right"/>
              <w:ind w:right="57"/>
              <w:spacing w:after="0"/>
              <w:rPr>
                <w:sz w:val="20"/>
                <w:szCs w:val="20"/>
                <w:color w:val="auto"/>
              </w:rPr>
            </w:pPr>
            <w:r>
              <w:rPr>
                <w:rFonts w:ascii="Times New Roman" w:cs="Times New Roman" w:eastAsia="Times New Roman" w:hAnsi="Times New Roman"/>
                <w:sz w:val="18"/>
                <w:szCs w:val="18"/>
                <w:color w:val="auto"/>
              </w:rPr>
              <w:t>4,000</w:t>
            </w:r>
          </w:p>
        </w:tc>
        <w:tc>
          <w:tcPr>
            <w:tcW w:w="1340" w:type="dxa"/>
            <w:vAlign w:val="bottom"/>
            <w:tcBorders>
              <w:right w:val="single" w:sz="8" w:color="auto"/>
            </w:tcBorders>
            <w:shd w:val="clear" w:color="auto" w:fill="CCEDFF"/>
          </w:tcPr>
          <w:p>
            <w:pPr>
              <w:jc w:val="right"/>
              <w:ind w:right="38"/>
              <w:spacing w:after="0"/>
              <w:rPr>
                <w:sz w:val="20"/>
                <w:szCs w:val="20"/>
                <w:color w:val="auto"/>
              </w:rPr>
            </w:pPr>
            <w:r>
              <w:rPr>
                <w:rFonts w:ascii="Times New Roman" w:cs="Times New Roman" w:eastAsia="Times New Roman" w:hAnsi="Times New Roman"/>
                <w:sz w:val="18"/>
                <w:szCs w:val="18"/>
                <w:color w:val="auto"/>
              </w:rPr>
              <w:t>12,000</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CEDFF"/>
          </w:tcPr>
          <w:p>
            <w:pPr>
              <w:jc w:val="right"/>
              <w:ind w:right="33"/>
              <w:spacing w:after="0"/>
              <w:rPr>
                <w:sz w:val="20"/>
                <w:szCs w:val="20"/>
                <w:color w:val="auto"/>
              </w:rPr>
            </w:pPr>
            <w:r>
              <w:rPr>
                <w:rFonts w:ascii="Times New Roman" w:cs="Times New Roman" w:eastAsia="Times New Roman" w:hAnsi="Times New Roman"/>
                <w:sz w:val="18"/>
                <w:szCs w:val="18"/>
                <w:color w:val="auto"/>
              </w:rPr>
              <w:t>24.42</w:t>
            </w:r>
          </w:p>
        </w:tc>
        <w:tc>
          <w:tcPr>
            <w:tcW w:w="1240" w:type="dxa"/>
            <w:vAlign w:val="bottom"/>
            <w:tcBorders>
              <w:right w:val="single" w:sz="8" w:color="auto"/>
            </w:tcBorders>
            <w:shd w:val="clear" w:color="auto" w:fill="CCEDFF"/>
          </w:tcPr>
          <w:p>
            <w:pPr>
              <w:jc w:val="right"/>
              <w:ind w:right="54"/>
              <w:spacing w:after="0"/>
              <w:rPr>
                <w:sz w:val="20"/>
                <w:szCs w:val="20"/>
                <w:color w:val="auto"/>
              </w:rPr>
            </w:pPr>
            <w:r>
              <w:rPr>
                <w:rFonts w:ascii="Times New Roman" w:cs="Times New Roman" w:eastAsia="Times New Roman" w:hAnsi="Times New Roman"/>
                <w:sz w:val="18"/>
                <w:szCs w:val="18"/>
                <w:color w:val="auto"/>
              </w:rPr>
              <w:t>6/30/2026</w:t>
            </w:r>
          </w:p>
        </w:tc>
        <w:tc>
          <w:tcPr>
            <w:tcW w:w="1320" w:type="dxa"/>
            <w:vAlign w:val="bottom"/>
            <w:tcBorders>
              <w:right w:val="single" w:sz="8" w:color="auto"/>
            </w:tcBorders>
            <w:shd w:val="clear" w:color="auto" w:fill="CCEDFF"/>
          </w:tcPr>
          <w:p>
            <w:pPr>
              <w:spacing w:after="0"/>
              <w:rPr>
                <w:sz w:val="21"/>
                <w:szCs w:val="21"/>
                <w:color w:val="auto"/>
              </w:rPr>
            </w:pPr>
          </w:p>
        </w:tc>
        <w:tc>
          <w:tcPr>
            <w:tcW w:w="200" w:type="dxa"/>
            <w:vAlign w:val="bottom"/>
            <w:shd w:val="clear" w:color="auto" w:fill="CCEDFF"/>
          </w:tcPr>
          <w:p>
            <w:pPr>
              <w:spacing w:after="0"/>
              <w:rPr>
                <w:sz w:val="21"/>
                <w:szCs w:val="21"/>
                <w:color w:val="auto"/>
              </w:rPr>
            </w:pPr>
          </w:p>
        </w:tc>
        <w:tc>
          <w:tcPr>
            <w:tcW w:w="920" w:type="dxa"/>
            <w:vAlign w:val="bottom"/>
            <w:tcBorders>
              <w:right w:val="single" w:sz="8" w:color="auto"/>
            </w:tcBorders>
            <w:shd w:val="clear" w:color="auto" w:fill="CCEDFF"/>
          </w:tcPr>
          <w:p>
            <w:pPr>
              <w:spacing w:after="0"/>
              <w:rPr>
                <w:sz w:val="21"/>
                <w:szCs w:val="21"/>
                <w:color w:val="auto"/>
              </w:rPr>
            </w:pPr>
          </w:p>
        </w:tc>
      </w:tr>
      <w:tr>
        <w:trPr>
          <w:trHeight w:val="250"/>
        </w:trPr>
        <w:tc>
          <w:tcPr>
            <w:tcW w:w="1440" w:type="dxa"/>
            <w:vAlign w:val="bottom"/>
            <w:tcBorders>
              <w:left w:val="single" w:sz="8" w:color="auto"/>
              <w:bottom w:val="single" w:sz="8" w:color="auto"/>
            </w:tcBorders>
            <w:shd w:val="clear" w:color="auto" w:fill="CCEDFF"/>
          </w:tcPr>
          <w:p>
            <w:pPr>
              <w:spacing w:after="0"/>
              <w:rPr>
                <w:sz w:val="21"/>
                <w:szCs w:val="21"/>
                <w:color w:val="auto"/>
              </w:rPr>
            </w:pPr>
          </w:p>
        </w:tc>
        <w:tc>
          <w:tcPr>
            <w:tcW w:w="220" w:type="dxa"/>
            <w:vAlign w:val="bottom"/>
            <w:tcBorders>
              <w:bottom w:val="single" w:sz="8" w:color="auto"/>
              <w:right w:val="single" w:sz="8" w:color="auto"/>
            </w:tcBorders>
            <w:shd w:val="clear" w:color="auto" w:fill="CCEDFF"/>
          </w:tcPr>
          <w:p>
            <w:pPr>
              <w:spacing w:after="0"/>
              <w:rPr>
                <w:sz w:val="21"/>
                <w:szCs w:val="21"/>
                <w:color w:val="auto"/>
              </w:rPr>
            </w:pPr>
          </w:p>
        </w:tc>
        <w:tc>
          <w:tcPr>
            <w:tcW w:w="1360" w:type="dxa"/>
            <w:vAlign w:val="bottom"/>
            <w:tcBorders>
              <w:bottom w:val="single" w:sz="8" w:color="auto"/>
              <w:right w:val="single" w:sz="8" w:color="auto"/>
            </w:tcBorders>
            <w:shd w:val="clear" w:color="auto" w:fill="CCED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shd w:val="clear" w:color="auto" w:fill="CCEDFF"/>
          </w:tcPr>
          <w:p>
            <w:pPr>
              <w:jc w:val="right"/>
              <w:ind w:right="38"/>
              <w:spacing w:after="0"/>
              <w:rPr>
                <w:sz w:val="20"/>
                <w:szCs w:val="20"/>
                <w:color w:val="auto"/>
              </w:rPr>
            </w:pPr>
            <w:r>
              <w:rPr>
                <w:rFonts w:ascii="Times New Roman" w:cs="Times New Roman" w:eastAsia="Times New Roman" w:hAnsi="Times New Roman"/>
                <w:sz w:val="18"/>
                <w:szCs w:val="18"/>
                <w:color w:val="auto"/>
              </w:rPr>
              <w:t>16,000</w:t>
            </w:r>
          </w:p>
        </w:tc>
        <w:tc>
          <w:tcPr>
            <w:tcW w:w="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shd w:val="clear" w:color="auto" w:fill="CCEDFF"/>
          </w:tcPr>
          <w:p>
            <w:pPr>
              <w:jc w:val="right"/>
              <w:ind w:right="33"/>
              <w:spacing w:after="0"/>
              <w:rPr>
                <w:sz w:val="20"/>
                <w:szCs w:val="20"/>
                <w:color w:val="auto"/>
              </w:rPr>
            </w:pPr>
            <w:r>
              <w:rPr>
                <w:rFonts w:ascii="Times New Roman" w:cs="Times New Roman" w:eastAsia="Times New Roman" w:hAnsi="Times New Roman"/>
                <w:sz w:val="18"/>
                <w:szCs w:val="18"/>
                <w:color w:val="auto"/>
              </w:rPr>
              <w:t>52.22</w:t>
            </w:r>
          </w:p>
        </w:tc>
        <w:tc>
          <w:tcPr>
            <w:tcW w:w="1240" w:type="dxa"/>
            <w:vAlign w:val="bottom"/>
            <w:tcBorders>
              <w:bottom w:val="single" w:sz="8" w:color="auto"/>
              <w:right w:val="single" w:sz="8" w:color="auto"/>
            </w:tcBorders>
            <w:shd w:val="clear" w:color="auto" w:fill="CCEDFF"/>
          </w:tcPr>
          <w:p>
            <w:pPr>
              <w:jc w:val="right"/>
              <w:ind w:right="54"/>
              <w:spacing w:after="0"/>
              <w:rPr>
                <w:sz w:val="20"/>
                <w:szCs w:val="20"/>
                <w:color w:val="auto"/>
              </w:rPr>
            </w:pPr>
            <w:r>
              <w:rPr>
                <w:rFonts w:ascii="Times New Roman" w:cs="Times New Roman" w:eastAsia="Times New Roman" w:hAnsi="Times New Roman"/>
                <w:sz w:val="18"/>
                <w:szCs w:val="18"/>
                <w:color w:val="auto"/>
              </w:rPr>
              <w:t>7/2/2027</w:t>
            </w:r>
          </w:p>
        </w:tc>
        <w:tc>
          <w:tcPr>
            <w:tcW w:w="1320" w:type="dxa"/>
            <w:vAlign w:val="bottom"/>
            <w:tcBorders>
              <w:bottom w:val="single" w:sz="8" w:color="auto"/>
              <w:right w:val="single" w:sz="8" w:color="auto"/>
            </w:tcBorders>
            <w:shd w:val="clear" w:color="auto" w:fill="CCEDFF"/>
          </w:tcPr>
          <w:p>
            <w:pPr>
              <w:spacing w:after="0"/>
              <w:rPr>
                <w:sz w:val="21"/>
                <w:szCs w:val="21"/>
                <w:color w:val="auto"/>
              </w:rPr>
            </w:pPr>
          </w:p>
        </w:tc>
        <w:tc>
          <w:tcPr>
            <w:tcW w:w="200" w:type="dxa"/>
            <w:vAlign w:val="bottom"/>
            <w:tcBorders>
              <w:bottom w:val="single" w:sz="8" w:color="auto"/>
            </w:tcBorders>
            <w:shd w:val="clear" w:color="auto" w:fill="CCEDFF"/>
          </w:tcPr>
          <w:p>
            <w:pPr>
              <w:spacing w:after="0"/>
              <w:rPr>
                <w:sz w:val="21"/>
                <w:szCs w:val="21"/>
                <w:color w:val="auto"/>
              </w:rPr>
            </w:pPr>
          </w:p>
        </w:tc>
        <w:tc>
          <w:tcPr>
            <w:tcW w:w="920" w:type="dxa"/>
            <w:vAlign w:val="bottom"/>
            <w:tcBorders>
              <w:bottom w:val="single" w:sz="8" w:color="auto"/>
              <w:right w:val="single" w:sz="8" w:color="auto"/>
            </w:tcBorders>
            <w:shd w:val="clear" w:color="auto" w:fill="CCEDFF"/>
          </w:tcPr>
          <w:p>
            <w:pPr>
              <w:spacing w:after="0"/>
              <w:rPr>
                <w:sz w:val="21"/>
                <w:szCs w:val="21"/>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pacing w:after="0" w:line="99" w:lineRule="exact"/>
        <w:rPr>
          <w:sz w:val="20"/>
          <w:szCs w:val="20"/>
          <w:color w:val="auto"/>
        </w:rPr>
      </w:pPr>
    </w:p>
    <w:p>
      <w:pPr>
        <w:ind w:left="347" w:hanging="347"/>
        <w:spacing w:after="0"/>
        <w:tabs>
          <w:tab w:leader="none" w:pos="347"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were granted out of our Directors’ Plan and have a term of ten years and vest at the rate of 25% per year over four years.</w:t>
      </w:r>
    </w:p>
    <w:p>
      <w:pPr>
        <w:spacing w:after="0" w:line="109" w:lineRule="exact"/>
        <w:rPr>
          <w:rFonts w:ascii="Times New Roman" w:cs="Times New Roman" w:eastAsia="Times New Roman" w:hAnsi="Times New Roman"/>
          <w:sz w:val="14"/>
          <w:szCs w:val="14"/>
          <w:color w:val="auto"/>
        </w:rPr>
      </w:pPr>
    </w:p>
    <w:p>
      <w:pPr>
        <w:ind w:left="347" w:hanging="347"/>
        <w:spacing w:after="0"/>
        <w:tabs>
          <w:tab w:leader="none" w:pos="347"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were granted out of our Directors’ Plan and vest at the rate of 25% per year over four years.</w:t>
      </w:r>
    </w:p>
    <w:p>
      <w:pPr>
        <w:spacing w:after="0" w:line="109" w:lineRule="exact"/>
        <w:rPr>
          <w:rFonts w:ascii="Times New Roman" w:cs="Times New Roman" w:eastAsia="Times New Roman" w:hAnsi="Times New Roman"/>
          <w:sz w:val="14"/>
          <w:szCs w:val="14"/>
          <w:color w:val="auto"/>
        </w:rPr>
      </w:pPr>
    </w:p>
    <w:p>
      <w:pPr>
        <w:ind w:left="347" w:right="60" w:hanging="347"/>
        <w:spacing w:after="0" w:line="262" w:lineRule="auto"/>
        <w:tabs>
          <w:tab w:leader="none" w:pos="347"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non-employee Directors are subject to our Stock Holding and Ownership Guidelines for RSU Shares, which requires each non-employee Director to accumulate and maintain shares of Common Stock issued pursuant to RSUs until he has accumulated shares of Common Stock equal to four times such non-employee Director’s base annual cash retainer for service as a Director (but not for service on a Board committee), or until his termination of service.</w:t>
      </w:r>
    </w:p>
    <w:p>
      <w:pPr>
        <w:spacing w:after="0" w:line="67" w:lineRule="exact"/>
        <w:rPr>
          <w:rFonts w:ascii="Times New Roman" w:cs="Times New Roman" w:eastAsia="Times New Roman" w:hAnsi="Times New Roman"/>
          <w:sz w:val="14"/>
          <w:szCs w:val="14"/>
          <w:color w:val="auto"/>
        </w:rPr>
      </w:pPr>
    </w:p>
    <w:p>
      <w:pPr>
        <w:ind w:left="347" w:right="260" w:hanging="347"/>
        <w:spacing w:after="0" w:line="282" w:lineRule="auto"/>
        <w:tabs>
          <w:tab w:leader="none" w:pos="347"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of stock awards was determined by multiplying the number of unvested shares by $50.30, which was the closing market price of our common stock on the Nasdaq Global Select Market on December 29, 2017, the last trading day of fiscal 2017.</w:t>
      </w:r>
    </w:p>
    <w:p>
      <w:pPr>
        <w:spacing w:after="0" w:line="1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ind w:left="7" w:right="3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2017, certain information regarding option exercises and stock awards vested during the last fiscal year with respect to all of our non-employee Directors:</w:t>
      </w: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Fiscal 2017</w:t>
      </w:r>
    </w:p>
    <w:p>
      <w:pPr>
        <w:spacing w:after="0" w:line="65" w:lineRule="exact"/>
        <w:rPr>
          <w:sz w:val="20"/>
          <w:szCs w:val="20"/>
          <w:color w:val="auto"/>
        </w:rPr>
      </w:pPr>
    </w:p>
    <w:tbl>
      <w:tblPr>
        <w:tblLayout w:type="fixed"/>
        <w:tblInd w:w="17" w:type="dxa"/>
        <w:tblCellMar>
          <w:top w:w="0" w:type="dxa"/>
          <w:left w:w="0" w:type="dxa"/>
          <w:bottom w:w="0" w:type="dxa"/>
          <w:right w:w="0" w:type="dxa"/>
        </w:tblCellMar>
      </w:tblPr>
      <w:tr>
        <w:trPr>
          <w:trHeight w:val="203"/>
        </w:trPr>
        <w:tc>
          <w:tcPr>
            <w:tcW w:w="1440" w:type="dxa"/>
            <w:vAlign w:val="bottom"/>
            <w:tcBorders>
              <w:top w:val="single" w:sz="8" w:color="auto"/>
              <w:left w:val="single" w:sz="8" w:color="auto"/>
              <w:bottom w:val="single" w:sz="8" w:color="auto"/>
            </w:tcBorders>
          </w:tcPr>
          <w:p>
            <w:pPr>
              <w:spacing w:after="0"/>
              <w:rPr>
                <w:sz w:val="17"/>
                <w:szCs w:val="17"/>
                <w:color w:val="auto"/>
              </w:rPr>
            </w:pPr>
          </w:p>
        </w:tc>
        <w:tc>
          <w:tcPr>
            <w:tcW w:w="2120" w:type="dxa"/>
            <w:vAlign w:val="bottom"/>
            <w:tcBorders>
              <w:top w:val="single" w:sz="8" w:color="auto"/>
              <w:bottom w:val="single" w:sz="8" w:color="auto"/>
              <w:right w:val="single" w:sz="8" w:color="auto"/>
            </w:tcBorders>
          </w:tcPr>
          <w:p>
            <w:pPr>
              <w:spacing w:after="0"/>
              <w:rPr>
                <w:sz w:val="17"/>
                <w:szCs w:val="17"/>
                <w:color w:val="auto"/>
              </w:rPr>
            </w:pPr>
          </w:p>
        </w:tc>
        <w:tc>
          <w:tcPr>
            <w:tcW w:w="3080" w:type="dxa"/>
            <w:vAlign w:val="bottom"/>
            <w:tcBorders>
              <w:top w:val="single" w:sz="8" w:color="auto"/>
              <w:bottom w:val="single" w:sz="8" w:color="auto"/>
              <w:right w:val="single" w:sz="8" w:color="auto"/>
            </w:tcBorders>
            <w:gridSpan w:val="3"/>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920" w:type="dxa"/>
            <w:vAlign w:val="bottom"/>
            <w:tcBorders>
              <w:top w:val="single" w:sz="8" w:color="auto"/>
              <w:bottom w:val="single" w:sz="8" w:color="auto"/>
              <w:right w:val="single" w:sz="8" w:color="auto"/>
            </w:tcBorders>
            <w:gridSpan w:val="3"/>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58"/>
        </w:trPr>
        <w:tc>
          <w:tcPr>
            <w:tcW w:w="1440" w:type="dxa"/>
            <w:vAlign w:val="bottom"/>
            <w:tcBorders>
              <w:left w:val="single" w:sz="8" w:color="auto"/>
            </w:tcBorders>
          </w:tcPr>
          <w:p>
            <w:pPr>
              <w:spacing w:after="0"/>
              <w:rPr>
                <w:sz w:val="13"/>
                <w:szCs w:val="13"/>
                <w:color w:val="auto"/>
              </w:rPr>
            </w:pPr>
          </w:p>
        </w:tc>
        <w:tc>
          <w:tcPr>
            <w:tcW w:w="212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r>
      <w:tr>
        <w:trPr>
          <w:trHeight w:val="162"/>
        </w:trPr>
        <w:tc>
          <w:tcPr>
            <w:tcW w:w="1440" w:type="dxa"/>
            <w:vAlign w:val="bottom"/>
            <w:tcBorders>
              <w:left w:val="single" w:sz="8" w:color="auto"/>
            </w:tcBorders>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r>
      <w:tr>
        <w:trPr>
          <w:trHeight w:val="162"/>
        </w:trPr>
        <w:tc>
          <w:tcPr>
            <w:tcW w:w="1440" w:type="dxa"/>
            <w:vAlign w:val="bottom"/>
            <w:tcBorders>
              <w:left w:val="single" w:sz="8" w:color="auto"/>
            </w:tcBorders>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260" w:type="dxa"/>
            <w:vAlign w:val="bottom"/>
          </w:tcPr>
          <w:p>
            <w:pPr>
              <w:spacing w:after="0"/>
              <w:rPr>
                <w:sz w:val="14"/>
                <w:szCs w:val="14"/>
                <w:color w:val="auto"/>
              </w:rPr>
            </w:pPr>
          </w:p>
        </w:tc>
        <w:tc>
          <w:tcPr>
            <w:tcW w:w="1360" w:type="dxa"/>
            <w:vAlign w:val="bottom"/>
            <w:tcBorders>
              <w:right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280" w:type="dxa"/>
            <w:vAlign w:val="bottom"/>
          </w:tcPr>
          <w:p>
            <w:pPr>
              <w:spacing w:after="0"/>
              <w:rPr>
                <w:sz w:val="14"/>
                <w:szCs w:val="14"/>
                <w:color w:val="auto"/>
              </w:rPr>
            </w:pPr>
          </w:p>
        </w:tc>
        <w:tc>
          <w:tcPr>
            <w:tcW w:w="1320" w:type="dxa"/>
            <w:vAlign w:val="bottom"/>
            <w:tcBorders>
              <w:right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Value Realized</w:t>
            </w:r>
          </w:p>
        </w:tc>
      </w:tr>
      <w:tr>
        <w:trPr>
          <w:trHeight w:val="162"/>
        </w:trPr>
        <w:tc>
          <w:tcPr>
            <w:tcW w:w="1440" w:type="dxa"/>
            <w:vAlign w:val="bottom"/>
            <w:tcBorders>
              <w:left w:val="single" w:sz="8" w:color="auto"/>
            </w:tcBorders>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Exercise</w:t>
            </w:r>
          </w:p>
        </w:tc>
        <w:tc>
          <w:tcPr>
            <w:tcW w:w="260" w:type="dxa"/>
            <w:vAlign w:val="bottom"/>
          </w:tcPr>
          <w:p>
            <w:pPr>
              <w:spacing w:after="0"/>
              <w:rPr>
                <w:sz w:val="14"/>
                <w:szCs w:val="14"/>
                <w:color w:val="auto"/>
              </w:rPr>
            </w:pPr>
          </w:p>
        </w:tc>
        <w:tc>
          <w:tcPr>
            <w:tcW w:w="1360" w:type="dxa"/>
            <w:vAlign w:val="bottom"/>
            <w:tcBorders>
              <w:right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on Exercise</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Vesting</w:t>
            </w:r>
          </w:p>
        </w:tc>
        <w:tc>
          <w:tcPr>
            <w:tcW w:w="280" w:type="dxa"/>
            <w:vAlign w:val="bottom"/>
          </w:tcPr>
          <w:p>
            <w:pPr>
              <w:spacing w:after="0"/>
              <w:rPr>
                <w:sz w:val="14"/>
                <w:szCs w:val="14"/>
                <w:color w:val="auto"/>
              </w:rPr>
            </w:pPr>
          </w:p>
        </w:tc>
        <w:tc>
          <w:tcPr>
            <w:tcW w:w="1320" w:type="dxa"/>
            <w:vAlign w:val="bottom"/>
            <w:tcBorders>
              <w:right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on Vesting</w:t>
            </w:r>
          </w:p>
        </w:tc>
      </w:tr>
      <w:tr>
        <w:trPr>
          <w:trHeight w:val="187"/>
        </w:trPr>
        <w:tc>
          <w:tcPr>
            <w:tcW w:w="35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560" w:type="dxa"/>
            <w:vAlign w:val="bottom"/>
            <w:tcBorders>
              <w:left w:val="single" w:sz="8" w:color="auto"/>
              <w:bottom w:val="single" w:sz="8" w:color="auto"/>
              <w:right w:val="single" w:sz="8" w:color="auto"/>
            </w:tcBorders>
            <w:gridSpan w:val="2"/>
            <w:shd w:val="clear" w:color="auto" w:fill="CCEEFF"/>
          </w:tcPr>
          <w:p>
            <w:pPr>
              <w:ind w:left="40"/>
              <w:spacing w:after="0" w:line="236" w:lineRule="exact"/>
              <w:rPr>
                <w:sz w:val="20"/>
                <w:szCs w:val="20"/>
                <w:color w:val="auto"/>
              </w:rPr>
            </w:pPr>
            <w:r>
              <w:rPr>
                <w:rFonts w:ascii="Times New Roman" w:cs="Times New Roman" w:eastAsia="Times New Roman" w:hAnsi="Times New Roman"/>
                <w:sz w:val="17"/>
                <w:szCs w:val="17"/>
                <w:color w:val="auto"/>
              </w:rPr>
              <w:t>Spencer R. Berthelsen</w:t>
            </w:r>
            <w:r>
              <w:rPr>
                <w:rFonts w:ascii="Times New Roman" w:cs="Times New Roman" w:eastAsia="Times New Roman" w:hAnsi="Times New Roman"/>
                <w:sz w:val="27"/>
                <w:szCs w:val="27"/>
                <w:color w:val="auto"/>
                <w:vertAlign w:val="superscript"/>
              </w:rPr>
              <w:t>(1)</w:t>
            </w:r>
          </w:p>
        </w:tc>
        <w:tc>
          <w:tcPr>
            <w:tcW w:w="146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12,500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435,250</w:t>
            </w:r>
          </w:p>
        </w:tc>
        <w:tc>
          <w:tcPr>
            <w:tcW w:w="132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2,469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125,598</w:t>
            </w:r>
          </w:p>
        </w:tc>
      </w:tr>
      <w:tr>
        <w:trPr>
          <w:trHeight w:val="232"/>
        </w:trPr>
        <w:tc>
          <w:tcPr>
            <w:tcW w:w="35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Breaux B. Castleman</w:t>
            </w:r>
          </w:p>
        </w:tc>
        <w:tc>
          <w:tcPr>
            <w:tcW w:w="14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3,406</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173,263</w:t>
            </w:r>
          </w:p>
        </w:tc>
      </w:tr>
      <w:tr>
        <w:trPr>
          <w:trHeight w:val="237"/>
        </w:trPr>
        <w:tc>
          <w:tcPr>
            <w:tcW w:w="3560" w:type="dxa"/>
            <w:vAlign w:val="bottom"/>
            <w:tcBorders>
              <w:left w:val="single" w:sz="8" w:color="auto"/>
              <w:bottom w:val="single" w:sz="8" w:color="auto"/>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Joseph Klein, III</w:t>
            </w:r>
          </w:p>
        </w:tc>
        <w:tc>
          <w:tcPr>
            <w:tcW w:w="146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14,062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384,098</w:t>
            </w:r>
          </w:p>
        </w:tc>
        <w:tc>
          <w:tcPr>
            <w:tcW w:w="132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2,469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125,598</w:t>
            </w:r>
          </w:p>
        </w:tc>
      </w:tr>
      <w:tr>
        <w:trPr>
          <w:trHeight w:val="237"/>
        </w:trPr>
        <w:tc>
          <w:tcPr>
            <w:tcW w:w="35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Joseph Loscalzo</w:t>
            </w:r>
          </w:p>
        </w:tc>
        <w:tc>
          <w:tcPr>
            <w:tcW w:w="14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2,938</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145,286</w:t>
            </w:r>
          </w:p>
        </w:tc>
      </w:tr>
      <w:tr>
        <w:trPr>
          <w:trHeight w:val="241"/>
        </w:trPr>
        <w:tc>
          <w:tcPr>
            <w:tcW w:w="3560" w:type="dxa"/>
            <w:vAlign w:val="bottom"/>
            <w:tcBorders>
              <w:left w:val="single" w:sz="8" w:color="auto"/>
              <w:bottom w:val="single" w:sz="8" w:color="auto"/>
              <w:right w:val="single" w:sz="8" w:color="auto"/>
            </w:tcBorders>
            <w:gridSpan w:val="2"/>
            <w:shd w:val="clear" w:color="auto" w:fill="CCEEFF"/>
          </w:tcPr>
          <w:p>
            <w:pPr>
              <w:ind w:left="40"/>
              <w:spacing w:after="0" w:line="241" w:lineRule="exact"/>
              <w:rPr>
                <w:sz w:val="20"/>
                <w:szCs w:val="20"/>
                <w:color w:val="auto"/>
              </w:rPr>
            </w:pPr>
            <w:r>
              <w:rPr>
                <w:rFonts w:ascii="Times New Roman" w:cs="Times New Roman" w:eastAsia="Times New Roman" w:hAnsi="Times New Roman"/>
                <w:sz w:val="17"/>
                <w:szCs w:val="17"/>
                <w:color w:val="auto"/>
              </w:rPr>
              <w:t>Frederick T. Muto</w:t>
            </w:r>
            <w:r>
              <w:rPr>
                <w:rFonts w:ascii="Times New Roman" w:cs="Times New Roman" w:eastAsia="Times New Roman" w:hAnsi="Times New Roman"/>
                <w:sz w:val="27"/>
                <w:szCs w:val="27"/>
                <w:color w:val="auto"/>
                <w:vertAlign w:val="superscript"/>
              </w:rPr>
              <w:t>(1)</w:t>
            </w:r>
          </w:p>
        </w:tc>
        <w:tc>
          <w:tcPr>
            <w:tcW w:w="146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12,500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443,125</w:t>
            </w:r>
          </w:p>
        </w:tc>
        <w:tc>
          <w:tcPr>
            <w:tcW w:w="132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2,469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125,598</w:t>
            </w:r>
          </w:p>
        </w:tc>
      </w:tr>
      <w:tr>
        <w:trPr>
          <w:trHeight w:val="232"/>
        </w:trPr>
        <w:tc>
          <w:tcPr>
            <w:tcW w:w="35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Joseph H. Wender</w:t>
            </w:r>
          </w:p>
        </w:tc>
        <w:tc>
          <w:tcPr>
            <w:tcW w:w="146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2,469</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125,598</w:t>
            </w:r>
          </w:p>
        </w:tc>
      </w:tr>
      <w:tr>
        <w:trPr>
          <w:trHeight w:val="187"/>
        </w:trPr>
        <w:tc>
          <w:tcPr>
            <w:tcW w:w="1440" w:type="dxa"/>
            <w:vAlign w:val="bottom"/>
            <w:tcBorders>
              <w:bottom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r>
    </w:tbl>
    <w:p>
      <w:pPr>
        <w:spacing w:after="0" w:line="99" w:lineRule="exact"/>
        <w:rPr>
          <w:sz w:val="20"/>
          <w:szCs w:val="20"/>
          <w:color w:val="auto"/>
        </w:rPr>
      </w:pPr>
    </w:p>
    <w:p>
      <w:pPr>
        <w:ind w:left="347" w:hanging="347"/>
        <w:spacing w:after="0"/>
        <w:tabs>
          <w:tab w:leader="none" w:pos="347"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Berthelsen and Mr. Muto exercised options that would have expired on July 1, 2017.</w:t>
      </w:r>
    </w:p>
    <w:p>
      <w:pPr>
        <w:spacing w:after="0" w:line="20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57" w:name="page58"/>
    <w:bookmarkEnd w:id="57"/>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21" w:lineRule="exact"/>
        <w:rPr>
          <w:sz w:val="20"/>
          <w:szCs w:val="20"/>
          <w:color w:val="auto"/>
        </w:rPr>
      </w:pPr>
    </w:p>
    <w:p>
      <w:pPr>
        <w:jc w:val="both"/>
        <w:ind w:left="7" w:right="220" w:firstLine="360"/>
        <w:spacing w:after="0" w:line="266" w:lineRule="auto"/>
        <w:rPr>
          <w:sz w:val="20"/>
          <w:szCs w:val="20"/>
          <w:color w:val="auto"/>
        </w:rPr>
      </w:pPr>
      <w:r>
        <w:rPr>
          <w:rFonts w:ascii="Times New Roman" w:cs="Times New Roman" w:eastAsia="Times New Roman" w:hAnsi="Times New Roman"/>
          <w:sz w:val="18"/>
          <w:szCs w:val="18"/>
          <w:color w:val="auto"/>
        </w:rPr>
        <w:t>We have provided some of the information below because you may find it useful when evaluating the proposals contained in this Proxy Statement. When we include a transaction in this section, we do not necessarily mean that the transaction qualifies as a related party transaction under the securities laws.</w:t>
      </w:r>
    </w:p>
    <w:p>
      <w:pPr>
        <w:spacing w:after="0" w:line="68" w:lineRule="exact"/>
        <w:rPr>
          <w:sz w:val="20"/>
          <w:szCs w:val="20"/>
          <w:color w:val="auto"/>
        </w:rPr>
      </w:pPr>
    </w:p>
    <w:p>
      <w:pPr>
        <w:ind w:left="7" w:right="120" w:firstLine="360"/>
        <w:spacing w:after="0" w:line="261" w:lineRule="auto"/>
        <w:rPr>
          <w:sz w:val="20"/>
          <w:szCs w:val="20"/>
          <w:color w:val="auto"/>
        </w:rPr>
      </w:pPr>
      <w:r>
        <w:rPr>
          <w:rFonts w:ascii="Times New Roman" w:cs="Times New Roman" w:eastAsia="Times New Roman" w:hAnsi="Times New Roman"/>
          <w:sz w:val="18"/>
          <w:szCs w:val="18"/>
          <w:color w:val="auto"/>
        </w:rPr>
        <w:t>Dr. Rosanne Crooke, the wife of Dr. Stanley Crooke, our Chairman and Chief Executive Officer, is one of our non-executive officers working part time at 30 hours per week. The Compensation Committee approves Dr. Rosanne Crooke’s compensation. Her compensation is commensurate with the compensation of other employees at the same level at Ionis. For the fiscal years ended 2017, 2016 and 2015, she received the following compensation:</w:t>
      </w:r>
    </w:p>
    <w:p>
      <w:pPr>
        <w:spacing w:after="0" w:line="16" w:lineRule="exact"/>
        <w:rPr>
          <w:sz w:val="20"/>
          <w:szCs w:val="20"/>
          <w:color w:val="auto"/>
        </w:rPr>
      </w:pPr>
    </w:p>
    <w:tbl>
      <w:tblPr>
        <w:tblLayout w:type="fixed"/>
        <w:tblInd w:w="17" w:type="dxa"/>
        <w:tblCellMar>
          <w:top w:w="0" w:type="dxa"/>
          <w:left w:w="0" w:type="dxa"/>
          <w:bottom w:w="0" w:type="dxa"/>
          <w:right w:w="0" w:type="dxa"/>
        </w:tblCellMar>
      </w:tblPr>
      <w:tr>
        <w:trPr>
          <w:trHeight w:val="162"/>
        </w:trPr>
        <w:tc>
          <w:tcPr>
            <w:tcW w:w="1440" w:type="dxa"/>
            <w:vAlign w:val="bottom"/>
            <w:tcBorders>
              <w:top w:val="single" w:sz="8" w:color="auto"/>
              <w:left w:val="single" w:sz="8" w:color="auto"/>
            </w:tcBorders>
          </w:tcPr>
          <w:p>
            <w:pPr>
              <w:spacing w:after="0"/>
              <w:rPr>
                <w:sz w:val="14"/>
                <w:szCs w:val="14"/>
                <w:color w:val="auto"/>
              </w:rPr>
            </w:pPr>
          </w:p>
        </w:tc>
        <w:tc>
          <w:tcPr>
            <w:tcW w:w="60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right w:val="single" w:sz="8" w:color="auto"/>
            </w:tcBorders>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w w:val="96"/>
              </w:rPr>
              <w:t>Bonus</w:t>
            </w:r>
            <w:r>
              <w:rPr>
                <w:rFonts w:ascii="Times New Roman" w:cs="Times New Roman" w:eastAsia="Times New Roman" w:hAnsi="Times New Roman"/>
                <w:sz w:val="24"/>
                <w:szCs w:val="24"/>
                <w:b w:val="1"/>
                <w:bCs w:val="1"/>
                <w:color w:val="auto"/>
                <w:w w:val="96"/>
                <w:vertAlign w:val="superscript"/>
              </w:rPr>
              <w:t>(1)</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right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6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right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5"/>
                <w:szCs w:val="15"/>
                <w:color w:val="auto"/>
              </w:rPr>
            </w:pPr>
          </w:p>
        </w:tc>
        <w:tc>
          <w:tcPr>
            <w:tcW w:w="860" w:type="dxa"/>
            <w:vAlign w:val="bottom"/>
            <w:tcBorders>
              <w:right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right w:val="single" w:sz="8" w:color="auto"/>
            </w:tcBorders>
          </w:tcPr>
          <w:p>
            <w:pPr>
              <w:jc w:val="center"/>
              <w:ind w:right="141"/>
              <w:spacing w:after="0" w:line="178"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20"/>
                <w:szCs w:val="20"/>
                <w:b w:val="1"/>
                <w:bCs w:val="1"/>
                <w:color w:val="auto"/>
                <w:vertAlign w:val="superscript"/>
              </w:rPr>
              <w:t>(2)</w:t>
            </w:r>
          </w:p>
        </w:tc>
        <w:tc>
          <w:tcPr>
            <w:tcW w:w="180" w:type="dxa"/>
            <w:vAlign w:val="bottom"/>
          </w:tcPr>
          <w:p>
            <w:pPr>
              <w:spacing w:after="0"/>
              <w:rPr>
                <w:sz w:val="15"/>
                <w:szCs w:val="15"/>
                <w:color w:val="auto"/>
              </w:rPr>
            </w:pPr>
          </w:p>
        </w:tc>
        <w:tc>
          <w:tcPr>
            <w:tcW w:w="980" w:type="dxa"/>
            <w:vAlign w:val="bottom"/>
            <w:tcBorders>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20"/>
                <w:szCs w:val="20"/>
                <w:b w:val="1"/>
                <w:bCs w:val="1"/>
                <w:color w:val="auto"/>
                <w:vertAlign w:val="superscript"/>
              </w:rPr>
              <w:t>(2)(4)</w:t>
            </w:r>
          </w:p>
        </w:tc>
        <w:tc>
          <w:tcPr>
            <w:tcW w:w="180" w:type="dxa"/>
            <w:vAlign w:val="bottom"/>
          </w:tcPr>
          <w:p>
            <w:pPr>
              <w:spacing w:after="0"/>
              <w:rPr>
                <w:sz w:val="15"/>
                <w:szCs w:val="15"/>
                <w:color w:val="auto"/>
              </w:rPr>
            </w:pPr>
          </w:p>
        </w:tc>
        <w:tc>
          <w:tcPr>
            <w:tcW w:w="1280" w:type="dxa"/>
            <w:vAlign w:val="bottom"/>
            <w:tcBorders>
              <w:right w:val="single" w:sz="8" w:color="auto"/>
            </w:tcBorders>
          </w:tcPr>
          <w:p>
            <w:pPr>
              <w:jc w:val="center"/>
              <w:ind w:right="121"/>
              <w:spacing w:after="0" w:line="178" w:lineRule="exact"/>
              <w:rPr>
                <w:sz w:val="20"/>
                <w:szCs w:val="20"/>
                <w:color w:val="auto"/>
              </w:rPr>
            </w:pPr>
            <w:r>
              <w:rPr>
                <w:rFonts w:ascii="Times New Roman" w:cs="Times New Roman" w:eastAsia="Times New Roman" w:hAnsi="Times New Roman"/>
                <w:sz w:val="12"/>
                <w:szCs w:val="12"/>
                <w:b w:val="1"/>
                <w:bCs w:val="1"/>
                <w:color w:val="auto"/>
              </w:rPr>
              <w:t>Compensation</w:t>
            </w:r>
            <w:r>
              <w:rPr>
                <w:rFonts w:ascii="Times New Roman" w:cs="Times New Roman" w:eastAsia="Times New Roman" w:hAnsi="Times New Roman"/>
                <w:sz w:val="20"/>
                <w:szCs w:val="20"/>
                <w:b w:val="1"/>
                <w:bCs w:val="1"/>
                <w:color w:val="auto"/>
                <w:vertAlign w:val="superscript"/>
              </w:rPr>
              <w:t>(3)</w:t>
            </w:r>
          </w:p>
        </w:tc>
        <w:tc>
          <w:tcPr>
            <w:tcW w:w="260" w:type="dxa"/>
            <w:vAlign w:val="bottom"/>
          </w:tcPr>
          <w:p>
            <w:pPr>
              <w:spacing w:after="0"/>
              <w:rPr>
                <w:sz w:val="15"/>
                <w:szCs w:val="15"/>
                <w:color w:val="auto"/>
              </w:rPr>
            </w:pPr>
          </w:p>
        </w:tc>
        <w:tc>
          <w:tcPr>
            <w:tcW w:w="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0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204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Rosanne Crooke</w:t>
            </w:r>
          </w:p>
        </w:tc>
        <w:tc>
          <w:tcPr>
            <w:tcW w:w="66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235,658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114,530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129,458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407,684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12,785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900,115</w:t>
            </w: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bottom w:val="single" w:sz="8" w:color="CCEEFF"/>
              <w:right w:val="single" w:sz="8" w:color="auto"/>
            </w:tcBorders>
            <w:gridSpan w:val="2"/>
            <w:vMerge w:val="restart"/>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Vice President,</w:t>
            </w:r>
          </w:p>
        </w:tc>
        <w:tc>
          <w:tcPr>
            <w:tcW w:w="660" w:type="dxa"/>
            <w:vAlign w:val="bottom"/>
            <w:tcBorders>
              <w:bottom w:val="single" w:sz="8" w:color="auto"/>
              <w:right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right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right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right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right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280" w:type="dxa"/>
            <w:vAlign w:val="bottom"/>
            <w:tcBorders>
              <w:bottom w:val="single" w:sz="8" w:color="auto"/>
              <w:right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40" w:type="dxa"/>
            <w:vAlign w:val="bottom"/>
            <w:tcBorders>
              <w:left w:val="single" w:sz="8" w:color="auto"/>
              <w:right w:val="single" w:sz="8" w:color="auto"/>
            </w:tcBorders>
            <w:gridSpan w:val="2"/>
            <w:vMerge w:val="continue"/>
            <w:shd w:val="clear" w:color="auto" w:fill="CCEEFF"/>
          </w:tcPr>
          <w:p>
            <w:pPr>
              <w:spacing w:after="0"/>
              <w:rPr>
                <w:sz w:val="4"/>
                <w:szCs w:val="4"/>
                <w:color w:val="auto"/>
              </w:rPr>
            </w:pPr>
          </w:p>
        </w:tc>
        <w:tc>
          <w:tcPr>
            <w:tcW w:w="66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227,031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132,813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18"/>
                <w:szCs w:val="18"/>
                <w:color w:val="auto"/>
              </w:rPr>
              <w:t>58,492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233,859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18"/>
                <w:szCs w:val="18"/>
                <w:color w:val="auto"/>
              </w:rPr>
              <w:t>7,936</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660,131</w:t>
            </w: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Cardiovascular</w:t>
            </w:r>
          </w:p>
        </w:tc>
        <w:tc>
          <w:tcPr>
            <w:tcW w:w="660" w:type="dxa"/>
            <w:vAlign w:val="bottom"/>
            <w:tcBorders>
              <w:right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tcBorders>
              <w:right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60" w:type="dxa"/>
            <w:vAlign w:val="bottom"/>
            <w:tcBorders>
              <w:right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60" w:type="dxa"/>
            <w:vAlign w:val="bottom"/>
            <w:tcBorders>
              <w:right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80" w:type="dxa"/>
            <w:vAlign w:val="bottom"/>
            <w:tcBorders>
              <w:right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040" w:type="dxa"/>
            <w:vAlign w:val="bottom"/>
            <w:tcBorders>
              <w:left w:val="single" w:sz="8" w:color="auto"/>
              <w:bottom w:val="single" w:sz="8" w:color="CCEEFF"/>
              <w:right w:val="single" w:sz="8" w:color="auto"/>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Diseases Drug</w:t>
            </w:r>
          </w:p>
        </w:tc>
        <w:tc>
          <w:tcPr>
            <w:tcW w:w="66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040" w:type="dxa"/>
            <w:vAlign w:val="bottom"/>
            <w:tcBorders>
              <w:left w:val="single" w:sz="8" w:color="auto"/>
              <w:right w:val="single" w:sz="8" w:color="auto"/>
            </w:tcBorders>
            <w:gridSpan w:val="2"/>
            <w:vMerge w:val="continue"/>
            <w:shd w:val="clear" w:color="auto" w:fill="CCEEFF"/>
          </w:tcPr>
          <w:p>
            <w:pPr>
              <w:spacing w:after="0"/>
              <w:rPr>
                <w:sz w:val="9"/>
                <w:szCs w:val="9"/>
                <w:color w:val="auto"/>
              </w:rPr>
            </w:pPr>
          </w:p>
        </w:tc>
        <w:tc>
          <w:tcPr>
            <w:tcW w:w="660" w:type="dxa"/>
            <w:vAlign w:val="bottom"/>
            <w:tcBorders>
              <w:right w:val="single" w:sz="8" w:color="auto"/>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218,720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102,361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99,818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auto"/>
            </w:tcBorders>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238,204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7,554</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666,657</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Discovery Research</w:t>
            </w:r>
          </w:p>
        </w:tc>
        <w:tc>
          <w:tcPr>
            <w:tcW w:w="660" w:type="dxa"/>
            <w:vAlign w:val="bottom"/>
            <w:tcBorders>
              <w:right w:val="single" w:sz="8" w:color="auto"/>
            </w:tcBorders>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20" w:type="dxa"/>
            <w:vAlign w:val="bottom"/>
            <w:tcBorders>
              <w:right w:val="single" w:sz="8" w:color="auto"/>
            </w:tcBorders>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60" w:type="dxa"/>
            <w:vAlign w:val="bottom"/>
            <w:tcBorders>
              <w:right w:val="single" w:sz="8" w:color="auto"/>
            </w:tcBorders>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60" w:type="dxa"/>
            <w:vAlign w:val="bottom"/>
            <w:tcBorders>
              <w:right w:val="single" w:sz="8" w:color="auto"/>
            </w:tcBorders>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980" w:type="dxa"/>
            <w:vAlign w:val="bottom"/>
            <w:tcBorders>
              <w:right w:val="single" w:sz="8" w:color="auto"/>
            </w:tcBorders>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80" w:type="dxa"/>
            <w:vAlign w:val="bottom"/>
            <w:tcBorders>
              <w:right w:val="single" w:sz="8" w:color="auto"/>
            </w:tcBorders>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2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bottom w:val="single" w:sz="8" w:color="auto"/>
              <w:right w:val="single" w:sz="8" w:color="auto"/>
            </w:tcBorders>
            <w:gridSpan w:val="2"/>
            <w:vMerge w:val="continue"/>
            <w:shd w:val="clear" w:color="auto" w:fill="CCEEFF"/>
          </w:tcPr>
          <w:p>
            <w:pPr>
              <w:spacing w:after="0"/>
              <w:rPr>
                <w:sz w:val="6"/>
                <w:szCs w:val="6"/>
                <w:color w:val="auto"/>
              </w:rPr>
            </w:pPr>
          </w:p>
        </w:tc>
        <w:tc>
          <w:tcPr>
            <w:tcW w:w="660" w:type="dxa"/>
            <w:vAlign w:val="bottom"/>
            <w:tcBorders>
              <w:bottom w:val="single" w:sz="8" w:color="auto"/>
              <w:right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right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right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right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right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right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44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7" w:right="200" w:hanging="347"/>
        <w:spacing w:after="0" w:line="282" w:lineRule="auto"/>
        <w:tabs>
          <w:tab w:leader="none" w:pos="347"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present bonuses in the years they were earned, not in the year paid. Bonuses represent compensation for achievements and are not necessarily paid in the year they are earned; for example, in January 2018 we paid bonuses for 2017 performance.</w:t>
      </w:r>
    </w:p>
    <w:p>
      <w:pPr>
        <w:spacing w:after="0" w:line="53" w:lineRule="exact"/>
        <w:rPr>
          <w:rFonts w:ascii="Times New Roman" w:cs="Times New Roman" w:eastAsia="Times New Roman" w:hAnsi="Times New Roman"/>
          <w:sz w:val="14"/>
          <w:szCs w:val="14"/>
          <w:color w:val="auto"/>
        </w:rPr>
      </w:pPr>
    </w:p>
    <w:p>
      <w:pPr>
        <w:ind w:left="347" w:right="20" w:hanging="347"/>
        <w:spacing w:after="0" w:line="252" w:lineRule="auto"/>
        <w:tabs>
          <w:tab w:leader="none" w:pos="347"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represent the aggregate expense recognized for financial statement reporting purposes in accordance with ASC 718 for stock and option awards granted to Dr. Crooke. ASC 718 expense for the option awards is based on the fair value of the awards on the date of grant using an option-pricing model. The fair value of RSUs is based on the market price of our common stock on the date of grant. For more information, please see Note 4, </w:t>
      </w:r>
      <w:r>
        <w:rPr>
          <w:rFonts w:ascii="Times New Roman" w:cs="Times New Roman" w:eastAsia="Times New Roman" w:hAnsi="Times New Roman"/>
          <w:sz w:val="14"/>
          <w:szCs w:val="14"/>
          <w:i w:val="1"/>
          <w:iCs w:val="1"/>
          <w:color w:val="auto"/>
        </w:rPr>
        <w:t>Stockholders’ Equity,</w:t>
      </w:r>
      <w:r>
        <w:rPr>
          <w:rFonts w:ascii="Times New Roman" w:cs="Times New Roman" w:eastAsia="Times New Roman" w:hAnsi="Times New Roman"/>
          <w:sz w:val="14"/>
          <w:szCs w:val="14"/>
          <w:color w:val="auto"/>
        </w:rPr>
        <w:t xml:space="preserve"> of the consolidated financial statements in our Annual Report on Form 10-K for the year ended December 31, 2017 regarding assumptions underlying valuation of equity awards.</w:t>
      </w:r>
    </w:p>
    <w:p>
      <w:pPr>
        <w:spacing w:after="0" w:line="242" w:lineRule="exact"/>
        <w:rPr>
          <w:rFonts w:ascii="Times New Roman" w:cs="Times New Roman" w:eastAsia="Times New Roman" w:hAnsi="Times New Roman"/>
          <w:sz w:val="14"/>
          <w:szCs w:val="14"/>
          <w:color w:val="auto"/>
        </w:rPr>
      </w:pPr>
    </w:p>
    <w:p>
      <w:pPr>
        <w:ind w:left="347" w:hanging="347"/>
        <w:spacing w:after="0"/>
        <w:tabs>
          <w:tab w:leader="none" w:pos="347"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AD&amp;D, Basic Life, Medical, Dental, Vision, and 401(k) matching contributions which are available to all employees.</w:t>
      </w:r>
    </w:p>
    <w:p>
      <w:pPr>
        <w:spacing w:after="0" w:line="109" w:lineRule="exact"/>
        <w:rPr>
          <w:rFonts w:ascii="Times New Roman" w:cs="Times New Roman" w:eastAsia="Times New Roman" w:hAnsi="Times New Roman"/>
          <w:sz w:val="14"/>
          <w:szCs w:val="14"/>
          <w:color w:val="auto"/>
        </w:rPr>
      </w:pPr>
    </w:p>
    <w:p>
      <w:pPr>
        <w:ind w:left="347" w:right="360" w:hanging="347"/>
        <w:spacing w:after="0" w:line="262" w:lineRule="auto"/>
        <w:tabs>
          <w:tab w:leader="none" w:pos="347"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estimated fair values of stock option grants we recognized as share-based compensation expense. The estimated fair value amounts were determined using an option-pricing model and are not indicative of whether Dr. Rosanne Crooke will realize the estimated fair value or any financial benefits from the award. The applicable amounts represent:</w:t>
      </w:r>
    </w:p>
    <w:p>
      <w:pPr>
        <w:spacing w:after="0" w:line="67" w:lineRule="exact"/>
        <w:rPr>
          <w:rFonts w:ascii="Times New Roman" w:cs="Times New Roman" w:eastAsia="Times New Roman" w:hAnsi="Times New Roman"/>
          <w:sz w:val="14"/>
          <w:szCs w:val="14"/>
          <w:color w:val="auto"/>
        </w:rPr>
      </w:pPr>
    </w:p>
    <w:p>
      <w:pPr>
        <w:ind w:left="707" w:hanging="356"/>
        <w:spacing w:after="0"/>
        <w:tabs>
          <w:tab w:leader="none" w:pos="707"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8,700 shares at $61.57 per share received on January 2, 2015;</w:t>
      </w:r>
    </w:p>
    <w:p>
      <w:pPr>
        <w:spacing w:after="0" w:line="109" w:lineRule="exact"/>
        <w:rPr>
          <w:rFonts w:ascii="Times New Roman" w:cs="Times New Roman" w:eastAsia="Times New Roman" w:hAnsi="Times New Roman"/>
          <w:sz w:val="14"/>
          <w:szCs w:val="14"/>
          <w:color w:val="auto"/>
        </w:rPr>
      </w:pPr>
    </w:p>
    <w:p>
      <w:pPr>
        <w:ind w:left="707" w:hanging="356"/>
        <w:spacing w:after="0"/>
        <w:tabs>
          <w:tab w:leader="none" w:pos="707"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8,000 shares at $61.68 per share received on January 4, 2016; and</w:t>
      </w:r>
    </w:p>
    <w:p>
      <w:pPr>
        <w:spacing w:after="0" w:line="109" w:lineRule="exact"/>
        <w:rPr>
          <w:rFonts w:ascii="Times New Roman" w:cs="Times New Roman" w:eastAsia="Times New Roman" w:hAnsi="Times New Roman"/>
          <w:sz w:val="14"/>
          <w:szCs w:val="14"/>
          <w:color w:val="auto"/>
        </w:rPr>
      </w:pPr>
    </w:p>
    <w:p>
      <w:pPr>
        <w:ind w:left="707" w:hanging="356"/>
        <w:spacing w:after="0"/>
        <w:tabs>
          <w:tab w:leader="none" w:pos="707"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16,157 shares at $47.34 per share received on January 3, 2017.</w:t>
      </w:r>
    </w:p>
    <w:p>
      <w:pPr>
        <w:spacing w:after="0" w:line="100" w:lineRule="exact"/>
        <w:rPr>
          <w:sz w:val="20"/>
          <w:szCs w:val="20"/>
          <w:color w:val="auto"/>
        </w:rPr>
      </w:pPr>
    </w:p>
    <w:p>
      <w:pPr>
        <w:ind w:left="7" w:right="340" w:firstLine="360"/>
        <w:spacing w:after="0" w:line="266" w:lineRule="auto"/>
        <w:rPr>
          <w:sz w:val="20"/>
          <w:szCs w:val="20"/>
          <w:color w:val="auto"/>
        </w:rPr>
      </w:pPr>
      <w:r>
        <w:rPr>
          <w:rFonts w:ascii="Times New Roman" w:cs="Times New Roman" w:eastAsia="Times New Roman" w:hAnsi="Times New Roman"/>
          <w:sz w:val="18"/>
          <w:szCs w:val="18"/>
          <w:color w:val="auto"/>
        </w:rPr>
        <w:t>One of our Directors, Mr. Muto, who was elected to the Board in March 2001, is a partner at Cooley LLP, our outside legal counsel. We paid Cooley LLP an aggregate of approximately $1.9 million in fees in 2017 for legal services, which amount is substantially less than five percent of Cooley’s gross revenues for its 2017 fiscal year.</w:t>
      </w:r>
    </w:p>
    <w:p>
      <w:pPr>
        <w:spacing w:after="0" w:line="68" w:lineRule="exact"/>
        <w:rPr>
          <w:sz w:val="20"/>
          <w:szCs w:val="20"/>
          <w:color w:val="auto"/>
        </w:rPr>
      </w:pPr>
    </w:p>
    <w:p>
      <w:pPr>
        <w:ind w:left="7" w:right="120" w:firstLine="360"/>
        <w:spacing w:after="0" w:line="255" w:lineRule="auto"/>
        <w:rPr>
          <w:sz w:val="20"/>
          <w:szCs w:val="20"/>
          <w:color w:val="auto"/>
        </w:rPr>
      </w:pPr>
      <w:r>
        <w:rPr>
          <w:rFonts w:ascii="Times New Roman" w:cs="Times New Roman" w:eastAsia="Times New Roman" w:hAnsi="Times New Roman"/>
          <w:sz w:val="18"/>
          <w:szCs w:val="18"/>
          <w:color w:val="auto"/>
        </w:rPr>
        <w:t>B. Lynne Parshall, who has been with Ionis for 27 years, became a Senior Strategic Advisor to the Company effective January 2018. In January 2018, Ms. Parshall and the Company entered into a Strategic Advisory Services Agreement (the “Advisory Services Agreement”) to reflect her new role where she will provide the Company strategic advisory services, including continued involvement in strategic planning, business development, and with the Company’s important relationships with Biogen and Akcea. Pursuant to the Advisory Services Agreement, Ms. Parshall will receive compensation of $250,000 for services provided in the fiscal year ending 2018. Payment for services after 2018 will be set by mutual written agreement between the Company and Ms. Parshall.</w:t>
      </w:r>
    </w:p>
    <w:p>
      <w:pPr>
        <w:spacing w:after="0" w:line="81" w:lineRule="exact"/>
        <w:rPr>
          <w:sz w:val="20"/>
          <w:szCs w:val="20"/>
          <w:color w:val="auto"/>
        </w:rPr>
      </w:pPr>
    </w:p>
    <w:p>
      <w:pPr>
        <w:ind w:left="7" w:right="60" w:firstLine="360"/>
        <w:spacing w:after="0" w:line="256" w:lineRule="auto"/>
        <w:rPr>
          <w:sz w:val="20"/>
          <w:szCs w:val="20"/>
          <w:color w:val="auto"/>
        </w:rPr>
      </w:pPr>
      <w:r>
        <w:rPr>
          <w:rFonts w:ascii="Times New Roman" w:cs="Times New Roman" w:eastAsia="Times New Roman" w:hAnsi="Times New Roman"/>
          <w:sz w:val="18"/>
          <w:szCs w:val="18"/>
          <w:color w:val="auto"/>
        </w:rPr>
        <w:t>Ms. Parshall will also continue to serve on the boards of directors of the Company and Akcea. Ms. Parshall will receive for her board service the same compensation as the Company and Akcea provide their other non-employee Directors. If in the future Ms. Parshall ends her board of director service for the Company, for 18 months following such date, the Company will pay Ms. Parshall’s COBRA premium payments, or if COBRA is not available, an amount equal to the cost of comparable health insurance coverage. The Advisory Services Agreement will continue until termination by us or Ms. Parshall upon 120 days’ advance written notice.</w:t>
      </w:r>
    </w:p>
    <w:p>
      <w:pPr>
        <w:spacing w:after="0" w:line="80" w:lineRule="exact"/>
        <w:rPr>
          <w:sz w:val="20"/>
          <w:szCs w:val="20"/>
          <w:color w:val="auto"/>
        </w:rPr>
      </w:pPr>
    </w:p>
    <w:p>
      <w:pPr>
        <w:ind w:left="7" w:right="580"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indemnity agreements with each of our executive officers and Directors and certain non-executive officers which provide, among other things, that we will indemnify such officer or Director, under</w:t>
      </w:r>
    </w:p>
    <w:p>
      <w:pPr>
        <w:spacing w:after="0" w:line="1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7" w:right="11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of Ionis, and otherwise to the fullest extent permitted under Delaware law and our bylaws. Our bylaws provide that we will indemnify our Directors and executive officers to the fullest extent not prohibited by Delaware law or any other applicable law, except that we will generally not be required to indemnify a Director or executive officer in connection with any proceeding initiated by such Director or executive officer.</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Policies and Procedures Regarding Related Party Transactions</w:t>
      </w:r>
    </w:p>
    <w:p>
      <w:pPr>
        <w:spacing w:after="0" w:line="119"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A committee of the Board composed entirely of independent Directors approves transactions with related persons, as defined under SEC regulations. The Compensation Committee approves all compensation we pay to employees that may qualify as a related person and the Audit Committee approves all other related party transactions, as specified in its charter. The committees only approve related party transactions at committee meetings, or by unanimous written consent in lieu of a meeting, and record the approvals in the minutes of the committees.</w:t>
      </w:r>
    </w:p>
    <w:p>
      <w:pPr>
        <w:spacing w:after="0" w:line="76" w:lineRule="exact"/>
        <w:rPr>
          <w:sz w:val="20"/>
          <w:szCs w:val="20"/>
          <w:color w:val="auto"/>
        </w:rPr>
      </w:pPr>
    </w:p>
    <w:p>
      <w:pPr>
        <w:jc w:val="both"/>
        <w:ind w:right="180" w:firstLine="360"/>
        <w:spacing w:after="0" w:line="266" w:lineRule="auto"/>
        <w:rPr>
          <w:sz w:val="20"/>
          <w:szCs w:val="20"/>
          <w:color w:val="auto"/>
        </w:rPr>
      </w:pPr>
      <w:r>
        <w:rPr>
          <w:rFonts w:ascii="Times New Roman" w:cs="Times New Roman" w:eastAsia="Times New Roman" w:hAnsi="Times New Roman"/>
          <w:sz w:val="18"/>
          <w:szCs w:val="18"/>
          <w:color w:val="auto"/>
        </w:rPr>
        <w:t>For transactions that do not qualify as related party transactions, but may otherwise present a conflict of interest, our Code of Ethics and Business Conduct requires the Board (for our executive officers and Directors) or the Chief Executive Officer or Chief Operating Officer (for non-executive officers) to determine that no conflict of interest exists.</w:t>
      </w:r>
    </w:p>
    <w:p>
      <w:pPr>
        <w:spacing w:after="0" w:line="68" w:lineRule="exact"/>
        <w:rPr>
          <w:sz w:val="20"/>
          <w:szCs w:val="20"/>
          <w:color w:val="auto"/>
        </w:rPr>
      </w:pPr>
    </w:p>
    <w:p>
      <w:pPr>
        <w:ind w:right="100" w:firstLine="360"/>
        <w:spacing w:after="0" w:line="282" w:lineRule="auto"/>
        <w:rPr>
          <w:sz w:val="20"/>
          <w:szCs w:val="20"/>
          <w:color w:val="auto"/>
        </w:rPr>
      </w:pPr>
      <w:r>
        <w:rPr>
          <w:rFonts w:ascii="Times New Roman" w:cs="Times New Roman" w:eastAsia="Times New Roman" w:hAnsi="Times New Roman"/>
          <w:sz w:val="18"/>
          <w:szCs w:val="18"/>
          <w:color w:val="auto"/>
        </w:rPr>
        <w:t>Our written policies and procedures specifically prohibit personal loans to our executive officers and any officer with a title of Vice President or higher.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21"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Under SEC rules, we disclose below the annual total compensation of our median employee, and the ratio of the annual total compensation of our CEO compared to the annual total compensation of our median employee (“CEO Pay Ratio”). To identify our median employee, we used the following methodology:</w:t>
      </w:r>
    </w:p>
    <w:p>
      <w:pPr>
        <w:spacing w:after="0" w:line="68" w:lineRule="exact"/>
        <w:rPr>
          <w:sz w:val="20"/>
          <w:szCs w:val="20"/>
          <w:color w:val="auto"/>
        </w:rPr>
      </w:pPr>
    </w:p>
    <w:p>
      <w:pPr>
        <w:ind w:left="700" w:right="40" w:hanging="356"/>
        <w:spacing w:after="0" w:line="261" w:lineRule="auto"/>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included all U.S.-based employees of Ionis or our affiliate, Akcea, who received a W-2 for 2017 and were employed by us on December 31, 2017. We did not include foreign employees as foreign employees account for less than 5% of our total employee population. As of December 31, 2017, we and Akcea had ten employees who were based outside the United States (five in Canada, four in the UK and one in France) and 447 employees who were based in the United States.</w:t>
      </w:r>
    </w:p>
    <w:p>
      <w:pPr>
        <w:spacing w:after="0" w:line="71" w:lineRule="exact"/>
        <w:rPr>
          <w:rFonts w:ascii="Times New Roman" w:cs="Times New Roman" w:eastAsia="Times New Roman" w:hAnsi="Times New Roman"/>
          <w:sz w:val="18"/>
          <w:szCs w:val="18"/>
          <w:color w:val="auto"/>
        </w:rPr>
      </w:pPr>
    </w:p>
    <w:p>
      <w:pPr>
        <w:ind w:left="700" w:right="600" w:hanging="356"/>
        <w:spacing w:after="0" w:line="282" w:lineRule="auto"/>
        <w:tabs>
          <w:tab w:leader="none" w:pos="7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our median employee from this employee population based on the W-2 income for 2017. We did not annualize any of these amounts.</w:t>
      </w:r>
    </w:p>
    <w:p>
      <w:pPr>
        <w:spacing w:after="0" w:line="54" w:lineRule="exact"/>
        <w:rPr>
          <w:sz w:val="20"/>
          <w:szCs w:val="20"/>
          <w:color w:val="auto"/>
        </w:rPr>
      </w:pPr>
    </w:p>
    <w:p>
      <w:pPr>
        <w:jc w:val="both"/>
        <w:ind w:right="180" w:firstLine="360"/>
        <w:spacing w:after="0" w:line="266" w:lineRule="auto"/>
        <w:rPr>
          <w:sz w:val="20"/>
          <w:szCs w:val="20"/>
          <w:color w:val="auto"/>
        </w:rPr>
      </w:pPr>
      <w:r>
        <w:rPr>
          <w:rFonts w:ascii="Times New Roman" w:cs="Times New Roman" w:eastAsia="Times New Roman" w:hAnsi="Times New Roman"/>
          <w:sz w:val="18"/>
          <w:szCs w:val="18"/>
          <w:color w:val="auto"/>
        </w:rPr>
        <w:t>Using this approach, we determined our median employee, who is a senior research associate. Once we identified the median employee, we then calculated the annual total compensation of this employee for 2017 in accordance with the requirements of the Summary Compensation Table.</w:t>
      </w:r>
    </w:p>
    <w:p>
      <w:pPr>
        <w:spacing w:after="0" w:line="68"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For 2017, the median of the annual total compensation of our employees (other than our CEO) was $155,073 and the annual total compensation of our CEO, as reported in the Summary Compensation Table included in this Proxy Statement, was $7,314,652. Based on this information, the ratio of the annual total compensation of our CEO to the median of the annual total compensation of all employees was 47.2 to 1.</w:t>
      </w:r>
    </w:p>
    <w:p>
      <w:pPr>
        <w:spacing w:after="0" w:line="72" w:lineRule="exact"/>
        <w:rPr>
          <w:sz w:val="20"/>
          <w:szCs w:val="20"/>
          <w:color w:val="auto"/>
        </w:rPr>
      </w:pPr>
    </w:p>
    <w:p>
      <w:pPr>
        <w:ind w:right="20" w:firstLine="360"/>
        <w:spacing w:after="0" w:line="274" w:lineRule="auto"/>
        <w:rPr>
          <w:sz w:val="20"/>
          <w:szCs w:val="20"/>
          <w:color w:val="auto"/>
        </w:rPr>
      </w:pPr>
      <w:r>
        <w:rPr>
          <w:rFonts w:ascii="Times New Roman" w:cs="Times New Roman" w:eastAsia="Times New Roman" w:hAnsi="Times New Roman"/>
          <w:sz w:val="17"/>
          <w:szCs w:val="17"/>
          <w:color w:val="auto"/>
        </w:rPr>
        <w:t>The CEO Pay Ratio above represents our reasonable estimate calculated in a manner consistent with SEC rules and applicable guidance. SEC rules and guidance provide significant flexibility in how companies identify the median employee, and each company may use a different methodology and make different assumptions particular to that company. As a result, and as explained by the SEC when it adopted these rules, in considering the pay ratio disclosure, stockholders should keep in mind that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spacing w:after="0" w:line="65" w:lineRule="exact"/>
        <w:rPr>
          <w:sz w:val="20"/>
          <w:szCs w:val="20"/>
          <w:color w:val="auto"/>
        </w:rPr>
      </w:pPr>
    </w:p>
    <w:p>
      <w:pPr>
        <w:ind w:right="380" w:firstLine="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Currently, neither the Compensation Committee nor our management used the CEO Pay Ratio described above to make compensation decisions. The Compensation Committee does, however, consider the cash pay ratios described on page </w:t>
      </w:r>
      <w:hyperlink w:anchor="page31">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when making compensation decisions.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7" w:right="1179" w:bottom="1440" w:gutter="0" w:footer="0" w:header="0"/>
        </w:sectPr>
      </w:pPr>
    </w:p>
    <w:bookmarkStart w:id="59" w:name="page60"/>
    <w:bookmarkEnd w:id="59"/>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jc w:val="center"/>
        <w:ind w:right="-226"/>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The Compensation Committee has:</w:t>
      </w:r>
    </w:p>
    <w:p>
      <w:pPr>
        <w:spacing w:after="0" w:line="117" w:lineRule="exact"/>
        <w:rPr>
          <w:sz w:val="20"/>
          <w:szCs w:val="20"/>
          <w:color w:val="auto"/>
        </w:rPr>
      </w:pPr>
    </w:p>
    <w:p>
      <w:pPr>
        <w:ind w:left="707" w:hanging="356"/>
        <w:spacing w:after="0" w:line="282" w:lineRule="auto"/>
        <w:tabs>
          <w:tab w:leader="none" w:pos="70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Compensation Discussion and Analysis included in this Proxy Statement with management; and</w:t>
      </w:r>
    </w:p>
    <w:p>
      <w:pPr>
        <w:spacing w:after="0" w:line="53" w:lineRule="exact"/>
        <w:rPr>
          <w:rFonts w:ascii="Times New Roman" w:cs="Times New Roman" w:eastAsia="Times New Roman" w:hAnsi="Times New Roman"/>
          <w:sz w:val="18"/>
          <w:szCs w:val="18"/>
          <w:color w:val="auto"/>
        </w:rPr>
      </w:pPr>
    </w:p>
    <w:p>
      <w:pPr>
        <w:jc w:val="both"/>
        <w:ind w:left="707" w:right="340" w:hanging="356"/>
        <w:spacing w:after="0" w:line="266" w:lineRule="auto"/>
        <w:tabs>
          <w:tab w:leader="none" w:pos="70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this review and discussion, the Compensation Committee recommended to the Board of Directors that the Compensation Discussion and Analysis be included in our Proxy Statement relating to the 2018 Annual Meeting of Stockholders.</w:t>
      </w:r>
    </w:p>
    <w:p>
      <w:pPr>
        <w:spacing w:after="0" w:line="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i w:val="1"/>
          <w:iCs w:val="1"/>
          <w:color w:val="auto"/>
        </w:rPr>
        <w:t>The Compensation Committee</w:t>
      </w:r>
    </w:p>
    <w:p>
      <w:pPr>
        <w:spacing w:after="0" w:line="2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 xml:space="preserve">Spencer R. Berthelsen, </w:t>
      </w:r>
      <w:r>
        <w:rPr>
          <w:rFonts w:ascii="Times New Roman" w:cs="Times New Roman" w:eastAsia="Times New Roman" w:hAnsi="Times New Roman"/>
          <w:sz w:val="18"/>
          <w:szCs w:val="18"/>
          <w:i w:val="1"/>
          <w:iCs w:val="1"/>
          <w:color w:val="auto"/>
        </w:rPr>
        <w:t>Chairman</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Joseph H. Wender</w:t>
      </w:r>
    </w:p>
    <w:p>
      <w:pPr>
        <w:spacing w:after="0" w:line="99" w:lineRule="exact"/>
        <w:rPr>
          <w:sz w:val="20"/>
          <w:szCs w:val="20"/>
          <w:color w:val="auto"/>
        </w:rPr>
      </w:pPr>
    </w:p>
    <w:p>
      <w:pPr>
        <w:ind w:left="347" w:right="140" w:hanging="347"/>
        <w:spacing w:after="0" w:line="282" w:lineRule="auto"/>
        <w:tabs>
          <w:tab w:leader="none" w:pos="34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is not “soliciting material,” is not deemed filed with the SEC and is not to be incorporated by reference in any filing of Ionis under the Securities Act or the Exchange Act.</w:t>
      </w:r>
    </w:p>
    <w:p>
      <w:pPr>
        <w:spacing w:after="0" w:line="162" w:lineRule="exact"/>
        <w:rPr>
          <w:sz w:val="20"/>
          <w:szCs w:val="20"/>
          <w:color w:val="auto"/>
        </w:rPr>
      </w:pPr>
    </w:p>
    <w:p>
      <w:pPr>
        <w:jc w:val="center"/>
        <w:ind w:right="-226"/>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47"/>
          </w:cols>
          <w:pgMar w:left="1173" w:top="277" w:right="1379" w:bottom="1440" w:gutter="0" w:footer="0" w:header="0"/>
        </w:sectPr>
      </w:pPr>
    </w:p>
    <w:bookmarkStart w:id="60" w:name="page61"/>
    <w:bookmarkEnd w:id="60"/>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ind w:left="7"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of Directors. Management has the primary responsibility for the financial statements and the financial reporting process, including the systems of internal controls. In fulfilling its oversight responsibilities, the Audit Committee reviewed the audited consolidated financial statements and the related schedules in our Annual Report on Form 10-K for the fiscal year ended December 31, 2017 with management, including a discussion of the quality, not just the acceptability, of the accounting principles, the reasonableness of significant judgments, and the clarity of disclosures in the financial statements.</w:t>
      </w:r>
    </w:p>
    <w:p>
      <w:pPr>
        <w:spacing w:after="0" w:line="80" w:lineRule="exact"/>
        <w:rPr>
          <w:sz w:val="20"/>
          <w:szCs w:val="20"/>
          <w:color w:val="auto"/>
        </w:rPr>
      </w:pPr>
    </w:p>
    <w:p>
      <w:pPr>
        <w:ind w:left="7" w:right="160"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reviewed with our independent auditors, who are responsible for expressing an opinion on the conformity of our audited consolidated financial statements and related schedules with generally accepted accounting principles, their judgments as to the quality, not just the acceptability, of our accounting principles and any other matters as are required to be discussed with the Audit Committee under generally accepted auditing standards. In addition, the Audit Committee has discussed with the independent auditors, the auditors’ independence from management and Ionis, including the matters in the written disclosures required by PCAOB Rule 3526. The Audit Committee received from Ernst &amp; Young LLP written disclosure and the letter regarding its independence as required by applicable requirements of the Public Company Accounting Oversight Board regarding Ernst &amp; Young LLP’s communications with the Audit Committee concerning independence. The Audit Committee also discussed with our independent auditors the matters required by the Statement on Auditing Standards No. 16.</w:t>
      </w:r>
    </w:p>
    <w:p>
      <w:pPr>
        <w:spacing w:after="0" w:line="81" w:lineRule="exact"/>
        <w:rPr>
          <w:sz w:val="20"/>
          <w:szCs w:val="20"/>
          <w:color w:val="auto"/>
        </w:rPr>
      </w:pPr>
    </w:p>
    <w:p>
      <w:pPr>
        <w:ind w:left="7" w:right="80"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also reviewed and discussed together with management and the independent auditors the audited consolidated financial statements for the fiscal year ended December 31, 2017, and the results of management’s assessment of the effectiveness of the Company’s internal control over financial reporting and the independent auditor’s audit of internal control over financial reporting.</w:t>
      </w:r>
    </w:p>
    <w:p>
      <w:pPr>
        <w:spacing w:after="0" w:line="72" w:lineRule="exact"/>
        <w:rPr>
          <w:sz w:val="20"/>
          <w:szCs w:val="20"/>
          <w:color w:val="auto"/>
        </w:rPr>
      </w:pPr>
    </w:p>
    <w:p>
      <w:pPr>
        <w:ind w:left="7" w:right="100"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discussed with our independent auditors the overall scope and plans for their audit. The Audit Committee met with the independent auditors, with and without management present, to discuss the results of their examinations, their evaluations of our internal controls, including internal control over financial reporting, and the overall quality of our financial reporting.</w:t>
      </w:r>
    </w:p>
    <w:p>
      <w:pPr>
        <w:spacing w:after="0" w:line="72" w:lineRule="exact"/>
        <w:rPr>
          <w:sz w:val="20"/>
          <w:szCs w:val="20"/>
          <w:color w:val="auto"/>
        </w:rPr>
      </w:pPr>
    </w:p>
    <w:p>
      <w:pPr>
        <w:ind w:left="7" w:firstLine="360"/>
        <w:spacing w:after="0" w:line="261"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of Directors, and the Board has approved, that the audited financial statements be included in our Annual Report on Form 10-K for the fiscal year ended December 31, 2017 for filing with the SEC. The Audit Committee and the Board have also recommended, subject to stockholder approval, the selection of Ernst &amp; Young LLP as our independent auditors for 2018.</w:t>
      </w:r>
    </w:p>
    <w:p>
      <w:pPr>
        <w:spacing w:after="0" w:line="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i w:val="1"/>
          <w:iCs w:val="1"/>
          <w:color w:val="auto"/>
        </w:rPr>
        <w:t>The Audit Committee</w:t>
      </w:r>
    </w:p>
    <w:p>
      <w:pPr>
        <w:spacing w:after="0" w:line="2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 xml:space="preserve">Joseph H. Wender, </w:t>
      </w:r>
      <w:r>
        <w:rPr>
          <w:rFonts w:ascii="Times New Roman" w:cs="Times New Roman" w:eastAsia="Times New Roman" w:hAnsi="Times New Roman"/>
          <w:sz w:val="18"/>
          <w:szCs w:val="18"/>
          <w:i w:val="1"/>
          <w:iCs w:val="1"/>
          <w:color w:val="auto"/>
        </w:rPr>
        <w:t>Chairman</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Breaux B. Castleman</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Joseph Klein, III</w:t>
      </w:r>
    </w:p>
    <w:p>
      <w:pPr>
        <w:spacing w:after="0" w:line="99" w:lineRule="exact"/>
        <w:rPr>
          <w:sz w:val="20"/>
          <w:szCs w:val="20"/>
          <w:color w:val="auto"/>
        </w:rPr>
      </w:pPr>
    </w:p>
    <w:p>
      <w:pPr>
        <w:ind w:left="347" w:right="320" w:hanging="347"/>
        <w:spacing w:after="0" w:line="282" w:lineRule="auto"/>
        <w:tabs>
          <w:tab w:leader="none" w:pos="34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is not “soliciting material,” is not deemed filed with the SEC and is not to be incorporated by reference in any filing of Ionis under the Securities Act or the Exchange Act.</w:t>
      </w:r>
    </w:p>
    <w:p>
      <w:pPr>
        <w:spacing w:after="0" w:line="162"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7" w:right="1199" w:bottom="1440" w:gutter="0" w:footer="0" w:header="0"/>
        </w:sectPr>
      </w:pPr>
    </w:p>
    <w:bookmarkStart w:id="61" w:name="page62"/>
    <w:bookmarkEnd w:id="61"/>
    <w:p>
      <w:pPr>
        <w:ind w:left="7"/>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7" w:right="340" w:firstLine="360"/>
        <w:spacing w:after="0" w:line="281"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(e.g. brokers) to satisfy the delivery requirements for Notice Regarding the Availability of Proxy Materials with respect to two or more stockholders sharing the same address by delivering a single Notice Regarding the Availability of Proxy Materials addressed to those stockholders. This process, which is commonly referred to as “householding,” potentially means extra convenience for stockholders and cost savings for companies.</w:t>
      </w:r>
    </w:p>
    <w:p>
      <w:pPr>
        <w:spacing w:after="0" w:line="57" w:lineRule="exact"/>
        <w:rPr>
          <w:sz w:val="20"/>
          <w:szCs w:val="20"/>
          <w:color w:val="auto"/>
        </w:rPr>
      </w:pPr>
    </w:p>
    <w:p>
      <w:pPr>
        <w:ind w:left="7" w:firstLine="36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our stockholders will be “householding” our proxy materials. A single Notice Regarding the Availability of Proxy Materials will be delivered to multiple stockholders sharing an address unless contrary instructions have been received from the affected stockholders. Once you have been notified by your broker that they will be “householding” communications to your address, “householding” will continue until you are notified otherwise or until you revoke your consent. If, at any time, you no longer wish to participate in “householding” and would prefer to receive a separate Notice Regarding the Availability of Proxy Materials, please notify your broker and direct your written request to Ionis Pharmaceuticals, Inc., Attn: Corporate Secretary, 2855 Gazelle Court, Carlsbad, California 92010, or contact our stock administrator at (760) 931-9200, and we will promptly provide you a separate Notice Regarding the Availability of Proxy Materials. Stockholders who currently receive multiple copies of the Proxy Statement or Notice Regarding the Availability of Proxy Materials at their address and would like to request “householding” of their communications should contact their broker.</w:t>
      </w:r>
    </w:p>
    <w:p>
      <w:pPr>
        <w:spacing w:after="0" w:line="18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7" w:right="140" w:firstLine="360"/>
        <w:spacing w:after="0" w:line="313" w:lineRule="auto"/>
        <w:rPr>
          <w:sz w:val="20"/>
          <w:szCs w:val="20"/>
          <w:color w:val="auto"/>
        </w:rPr>
      </w:pPr>
      <w:r>
        <w:rPr>
          <w:rFonts w:ascii="Times New Roman" w:cs="Times New Roman" w:eastAsia="Times New Roman" w:hAnsi="Times New Roman"/>
          <w:sz w:val="17"/>
          <w:szCs w:val="17"/>
          <w:color w:val="auto"/>
        </w:rPr>
        <w:t>The Board of Directors knows of no other matters that will be presented for consideration at the Annual Meeting. If any other issues are properly brought before the meeting, we will ask our proxy holders to vote on the matters using their best judgment.</w:t>
      </w:r>
    </w:p>
    <w:p>
      <w:pPr>
        <w:spacing w:after="0" w:line="26" w:lineRule="exact"/>
        <w:rPr>
          <w:sz w:val="20"/>
          <w:szCs w:val="20"/>
          <w:color w:val="auto"/>
        </w:rPr>
      </w:pPr>
    </w:p>
    <w:p>
      <w:pPr>
        <w:ind w:left="7" w:right="24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For further information about Ionis Pharmaceuticals, Inc., please request a free copy of our Annual Report on Form 10-K for the year ended December 31, 2017 that we filed with the SEC. Please send written requests to:</w:t>
      </w:r>
    </w:p>
    <w:p>
      <w:pPr>
        <w:spacing w:after="0" w:line="47"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b w:val="1"/>
          <w:bCs w:val="1"/>
          <w:color w:val="auto"/>
        </w:rPr>
        <w:t>Patrick R. O’Neil, Corporate Secretary</w:t>
      </w:r>
    </w:p>
    <w:p>
      <w:pPr>
        <w:spacing w:after="0" w:line="31"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b w:val="1"/>
          <w:bCs w:val="1"/>
          <w:color w:val="auto"/>
        </w:rPr>
        <w:t>Ionis Pharmaceuticals, Inc.</w:t>
      </w:r>
    </w:p>
    <w:p>
      <w:pPr>
        <w:spacing w:after="0" w:line="9"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b w:val="1"/>
          <w:bCs w:val="1"/>
          <w:color w:val="auto"/>
        </w:rPr>
        <w:t>2855 Gazelle Court</w:t>
      </w:r>
    </w:p>
    <w:p>
      <w:pPr>
        <w:spacing w:after="0" w:line="9"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b w:val="1"/>
          <w:bCs w:val="1"/>
          <w:color w:val="auto"/>
        </w:rPr>
        <w:t>Carlsbad, CA 92010</w:t>
      </w:r>
    </w:p>
    <w:p>
      <w:pPr>
        <w:spacing w:after="0" w:line="87" w:lineRule="exact"/>
        <w:rPr>
          <w:sz w:val="20"/>
          <w:szCs w:val="20"/>
          <w:color w:val="auto"/>
        </w:rPr>
      </w:pPr>
    </w:p>
    <w:p>
      <w:pPr>
        <w:ind w:left="7" w:right="220" w:firstLine="360"/>
        <w:spacing w:after="0" w:line="214" w:lineRule="auto"/>
        <w:rPr>
          <w:sz w:val="20"/>
          <w:szCs w:val="20"/>
          <w:color w:val="auto"/>
        </w:rPr>
      </w:pPr>
      <w:r>
        <w:rPr>
          <w:rFonts w:ascii="Times New Roman" w:cs="Times New Roman" w:eastAsia="Times New Roman" w:hAnsi="Times New Roman"/>
          <w:sz w:val="18"/>
          <w:szCs w:val="18"/>
          <w:b w:val="1"/>
          <w:bCs w:val="1"/>
          <w:color w:val="auto"/>
        </w:rPr>
        <w:t>You may also visit our website (</w:t>
      </w:r>
      <w:r>
        <w:rPr>
          <w:rFonts w:ascii="Times New Roman" w:cs="Times New Roman" w:eastAsia="Times New Roman" w:hAnsi="Times New Roman"/>
          <w:sz w:val="18"/>
          <w:szCs w:val="18"/>
          <w:b w:val="1"/>
          <w:bCs w:val="1"/>
          <w:u w:val="single" w:color="auto"/>
          <w:color w:val="auto"/>
        </w:rPr>
        <w:t>www.ionispharma.com</w:t>
      </w:r>
      <w:r>
        <w:rPr>
          <w:rFonts w:ascii="Times New Roman" w:cs="Times New Roman" w:eastAsia="Times New Roman" w:hAnsi="Times New Roman"/>
          <w:sz w:val="27"/>
          <w:szCs w:val="27"/>
          <w:b w:val="1"/>
          <w:bCs w:val="1"/>
          <w:u w:val="single" w:color="auto"/>
          <w:color w:val="0000EE"/>
          <w:vertAlign w:val="superscript"/>
        </w:rPr>
        <w:t>9</w:t>
      </w:r>
      <w:r>
        <w:rPr>
          <w:rFonts w:ascii="Times New Roman" w:cs="Times New Roman" w:eastAsia="Times New Roman" w:hAnsi="Times New Roman"/>
          <w:sz w:val="18"/>
          <w:szCs w:val="18"/>
          <w:b w:val="1"/>
          <w:bCs w:val="1"/>
          <w:color w:val="auto"/>
        </w:rPr>
        <w:t>) to view our 2017 Annual Report on Form 10-K. The Annual Report on Form 10-K is not incorporated into this Proxy Statement and is not considered soliciting material.</w:t>
      </w:r>
    </w:p>
    <w:p>
      <w:pPr>
        <w:spacing w:after="0" w:line="50" w:lineRule="exact"/>
        <w:rPr>
          <w:sz w:val="20"/>
          <w:szCs w:val="20"/>
          <w:color w:val="auto"/>
        </w:rPr>
      </w:pPr>
    </w:p>
    <w:p>
      <w:pPr>
        <w:ind w:left="4787"/>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4787"/>
        <w:spacing w:after="0"/>
        <w:rPr>
          <w:sz w:val="20"/>
          <w:szCs w:val="20"/>
          <w:color w:val="auto"/>
        </w:rPr>
      </w:pPr>
      <w:r>
        <w:rPr>
          <w:rFonts w:ascii="Times New Roman" w:cs="Times New Roman" w:eastAsia="Times New Roman" w:hAnsi="Times New Roman"/>
          <w:sz w:val="18"/>
          <w:szCs w:val="18"/>
          <w:color w:val="auto"/>
        </w:rPr>
        <w:t>Patrick R. O’Neil</w:t>
      </w:r>
    </w:p>
    <w:p>
      <w:pPr>
        <w:spacing w:after="0" w:line="27" w:lineRule="exact"/>
        <w:rPr>
          <w:sz w:val="20"/>
          <w:szCs w:val="20"/>
          <w:color w:val="auto"/>
        </w:rPr>
      </w:pPr>
    </w:p>
    <w:p>
      <w:pPr>
        <w:ind w:left="4787"/>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112"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April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909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95" w:lineRule="exact"/>
        <w:rPr>
          <w:sz w:val="20"/>
          <w:szCs w:val="20"/>
          <w:color w:val="auto"/>
        </w:rPr>
      </w:pPr>
    </w:p>
    <w:p>
      <w:pPr>
        <w:ind w:left="167" w:right="80" w:hanging="167"/>
        <w:spacing w:after="0" w:line="182" w:lineRule="auto"/>
        <w:tabs>
          <w:tab w:leader="none" w:pos="167" w:val="left"/>
        </w:tabs>
        <w:numPr>
          <w:ilvl w:val="0"/>
          <w:numId w:val="7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Any information that is included on or linked to our website is not part of this Proxy Statement or any registration statement or report that incorporates this Proxy Statement by reference.</w:t>
      </w:r>
    </w:p>
    <w:p>
      <w:pPr>
        <w:spacing w:after="0" w:line="18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7" w:right="11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This Proxy Statement includes forward-looking statements regarding Ionis’ business, the business of Akcea Therapeutics, Inc., a subsidiary of Ionis, and the therapeutic and commercial potential of SPINRAZA (nusinersen), volanesorsen and inotersen and other of Ionis’ drugs in development. Any statement describing Ionis’ goals, expectations, financial or other projections, intentions or beliefs is a forward-looking statement and should be considered an at-risk statement. Such statements are subject to certain risks and uncertainties, particularly those inherent in the process of discovering, developing and commercializing drugs that are safe and effective for use as human therapeutics, and in the endeavor of building a business around such drugs.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As a result, you are cautioned not to rely on these forward-looking statements. These and other risks concerning Ionis’ programs are described in additional detail in Ionis’ Annual Report on Form 10-K for the year ended December 31, 2017, which is on file with the SEC. Copies of the 10-K and other documents are available from the Company.</w:t>
      </w:r>
    </w:p>
    <w:p>
      <w:pPr>
        <w:spacing w:after="0" w:line="83" w:lineRule="exact"/>
        <w:rPr>
          <w:sz w:val="20"/>
          <w:szCs w:val="20"/>
          <w:color w:val="auto"/>
        </w:rPr>
      </w:pPr>
    </w:p>
    <w:p>
      <w:pPr>
        <w:ind w:right="460" w:firstLine="360"/>
        <w:spacing w:after="0" w:line="282" w:lineRule="auto"/>
        <w:rPr>
          <w:sz w:val="20"/>
          <w:szCs w:val="20"/>
          <w:color w:val="auto"/>
        </w:rPr>
      </w:pPr>
      <w:r>
        <w:rPr>
          <w:rFonts w:ascii="Times New Roman" w:cs="Times New Roman" w:eastAsia="Times New Roman" w:hAnsi="Times New Roman"/>
          <w:sz w:val="18"/>
          <w:szCs w:val="18"/>
          <w:color w:val="auto"/>
        </w:rPr>
        <w:t>In this Proxy Statement, unless the context requires otherwise, “Ionis,” “Company,” “we,” “our,” and “us” refers to Ionis Pharmaceuticals, Inc. and its subsidiaries.</w:t>
      </w:r>
    </w:p>
    <w:p>
      <w:pPr>
        <w:spacing w:after="0" w:line="54"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“Ionis,” the Ionis logo, and other trademarks or service marks of Ionis Pharmaceuticals, Inc. appearing in this Proxy Statement are the property of Ionis Pharmaceuticals, Inc. “Akcea,” the Akcea logo, and other trademarks or service marks of Akcea Therapeutics, Inc. appearing in this Proxy Statement are the property of Akcea Therapeutics, Inc. This Proxy Statement contains additional trade names, trademarks and service marks of others, which are the property of their respective owners. Solely for convenience, trademarks and trade names referred to in this Proxy Statement may appear without the ® or TM symbols.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7" w:right="12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6294755" cy="86188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4755" cy="8618855"/>
                    </a:xfrm>
                    <a:prstGeom prst="rect">
                      <a:avLst/>
                    </a:prstGeom>
                    <a:noFill/>
                  </pic:spPr>
                </pic:pic>
              </a:graphicData>
            </a:graphic>
          </wp:anchor>
        </w:drawing>
      </w:r>
    </w:p>
    <w:p>
      <w:pPr>
        <w:sectPr>
          <w:pgSz w:w="11900" w:h="16838" w:orient="portrait"/>
          <w:cols w:equalWidth="0" w:num="1">
            <w:col w:w="9279"/>
          </w:cols>
          <w:pgMar w:left="1180" w:top="277"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6294755" cy="86188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4755" cy="8618855"/>
                    </a:xfrm>
                    <a:prstGeom prst="rect">
                      <a:avLst/>
                    </a:prstGeom>
                    <a:noFill/>
                  </pic:spPr>
                </pic:pic>
              </a:graphicData>
            </a:graphic>
          </wp:anchor>
        </w:drawing>
      </w:r>
    </w:p>
    <w:sectPr>
      <w:pgSz w:w="11900" w:h="16838" w:orient="portrait"/>
      <w:cols w:equalWidth="0" w:num="1">
        <w:col w:w="9279"/>
      </w:cols>
      <w:pgMar w:left="1180" w:top="2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o"/>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o"/>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o"/>
      <w:numFmt w:val="bullet"/>
      <w:start w:val="1"/>
    </w:lvl>
    <w:lvl w:ilvl="1">
      <w:lvlJc w:val="left"/>
      <w:lvlText w:val="(%2)"/>
      <w:numFmt w:val="decimal"/>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2"/>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1)"/>
      <w:numFmt w:val="decimal"/>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3"/>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4"/>
      <w:numFmt w:val="bullet"/>
      <w:start w:val="1"/>
    </w:lvl>
  </w:abstractNum>
  <w:abstractNum w:abstractNumId="24">
    <w:nsid w:val="32FFF902"/>
    <w:multiLevelType w:val="hybridMultilevel"/>
    <w:lvl w:ilvl="0">
      <w:lvlJc w:val="left"/>
      <w:lvlText w:val="5"/>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6"/>
      <w:numFmt w:val="bullet"/>
      <w:start w:val="1"/>
    </w:lvl>
  </w:abstractNum>
  <w:abstractNum w:abstractNumId="29">
    <w:nsid w:val="1BA026FA"/>
    <w:multiLevelType w:val="hybridMultilevel"/>
    <w:lvl w:ilvl="0">
      <w:lvlJc w:val="left"/>
      <w:lvlText w:val="7"/>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8"/>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1"/>
    </w:lvl>
    <w:lvl w:ilvl="1">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2019-12-05T21:28:05Z</dcterms:created>
  <dcterms:modified xsi:type="dcterms:W3CDTF">2019-12-05T21:28:05Z</dcterms:modified>
</cp:coreProperties>
</file>