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780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8040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O'NEIL PATRICK R.</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gridSpan w:val="3"/>
          </w:tcPr>
          <w:p>
            <w:pPr>
              <w:ind w:left="6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ISIS PHARMACEUTICALS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ISIS</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ISIS PHARMACEUTICALS, INC.</w:t>
            </w:r>
          </w:p>
        </w:tc>
        <w:tc>
          <w:tcPr>
            <w:tcW w:w="3120" w:type="dxa"/>
            <w:vAlign w:val="bottom"/>
            <w:gridSpan w:val="3"/>
          </w:tcPr>
          <w:p>
            <w:pPr>
              <w:ind w:left="160"/>
              <w:spacing w:after="0"/>
              <w:rPr>
                <w:sz w:val="20"/>
                <w:szCs w:val="20"/>
                <w:color w:val="auto"/>
              </w:rPr>
            </w:pPr>
            <w:r>
              <w:rPr>
                <w:rFonts w:ascii="Arial" w:cs="Arial" w:eastAsia="Arial" w:hAnsi="Arial"/>
                <w:sz w:val="17"/>
                <w:szCs w:val="17"/>
                <w:color w:val="0000FF"/>
              </w:rPr>
              <w:t>07/01/2014</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2855 GAZELLE COURT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3"/>
        <w:spacing w:after="0"/>
        <w:rPr>
          <w:sz w:val="20"/>
          <w:szCs w:val="20"/>
          <w:color w:val="auto"/>
        </w:rPr>
      </w:pPr>
      <w:r>
        <w:rPr>
          <w:rFonts w:ascii="Arial" w:cs="Arial" w:eastAsia="Arial" w:hAnsi="Arial"/>
          <w:sz w:val="17"/>
          <w:szCs w:val="17"/>
          <w:color w:val="0000FF"/>
        </w:rPr>
        <w:t>SVP, Legal &amp; General Counsel</w:t>
      </w:r>
    </w:p>
    <w:p>
      <w:pPr>
        <w:spacing w:after="0" w:line="408" w:lineRule="exact"/>
        <w:rPr>
          <w:sz w:val="20"/>
          <w:szCs w:val="20"/>
          <w:color w:val="auto"/>
        </w:rPr>
      </w:pPr>
    </w:p>
    <w:p>
      <w:pPr>
        <w:sectPr>
          <w:pgSz w:w="11900" w:h="16838" w:orient="portrait"/>
          <w:cols w:equalWidth="0" w:num="2">
            <w:col w:w="7960" w:space="77"/>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820" w:type="dxa"/>
            <w:vAlign w:val="bottom"/>
            <w:gridSpan w:val="8"/>
          </w:tcPr>
          <w:p>
            <w:pPr>
              <w:jc w:val="right"/>
              <w:ind w:right="193"/>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CARLSBAD</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92010</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07/01/2014</w:t>
            </w:r>
          </w:p>
        </w:tc>
        <w:tc>
          <w:tcPr>
            <w:tcW w:w="10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7"/>
                <w:szCs w:val="17"/>
                <w:color w:val="0000FF"/>
              </w:rPr>
              <w:t>07/01/2014</w:t>
            </w: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680" w:type="dxa"/>
            <w:vAlign w:val="bottom"/>
            <w:tcBorders>
              <w:bottom w:val="single" w:sz="8" w:color="2C2C2C"/>
            </w:tcBorders>
          </w:tcPr>
          <w:p>
            <w:pPr>
              <w:jc w:val="right"/>
              <w:ind w:right="110"/>
              <w:spacing w:after="0"/>
              <w:rPr>
                <w:sz w:val="20"/>
                <w:szCs w:val="20"/>
                <w:color w:val="auto"/>
              </w:rPr>
            </w:pPr>
            <w:r>
              <w:rPr>
                <w:rFonts w:ascii="Arial" w:cs="Arial" w:eastAsia="Arial" w:hAnsi="Arial"/>
                <w:sz w:val="17"/>
                <w:szCs w:val="17"/>
                <w:color w:val="0000FF"/>
              </w:rPr>
              <w:t>403</w:t>
            </w:r>
          </w:p>
        </w:tc>
        <w:tc>
          <w:tcPr>
            <w:tcW w:w="680" w:type="dxa"/>
            <w:vAlign w:val="bottom"/>
            <w:tcBorders>
              <w:bottom w:val="single" w:sz="8" w:color="2C2C2C"/>
            </w:tcBorders>
          </w:tcPr>
          <w:p>
            <w:pPr>
              <w:jc w:val="right"/>
              <w:ind w:right="193"/>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30.2005</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3,753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07/01/2014</w:t>
            </w:r>
          </w:p>
        </w:tc>
        <w:tc>
          <w:tcPr>
            <w:tcW w:w="10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7"/>
                <w:szCs w:val="17"/>
                <w:color w:val="0000FF"/>
              </w:rPr>
              <w:t>07/01/2014</w:t>
            </w: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w w:val="99"/>
              </w:rPr>
              <w:t>1,500</w:t>
            </w:r>
            <w:r>
              <w:rPr>
                <w:rFonts w:ascii="Arial" w:cs="Arial" w:eastAsia="Arial" w:hAnsi="Arial"/>
                <w:sz w:val="22"/>
                <w:szCs w:val="22"/>
                <w:color w:val="008000"/>
                <w:w w:val="99"/>
                <w:vertAlign w:val="superscript"/>
              </w:rPr>
              <w:t>(2)</w:t>
            </w:r>
          </w:p>
        </w:tc>
        <w:tc>
          <w:tcPr>
            <w:tcW w:w="680" w:type="dxa"/>
            <w:vAlign w:val="bottom"/>
            <w:tcBorders>
              <w:bottom w:val="single" w:sz="8" w:color="2C2C2C"/>
            </w:tcBorders>
          </w:tcPr>
          <w:p>
            <w:pPr>
              <w:jc w:val="right"/>
              <w:ind w:right="193"/>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10.29</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5,253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07/01/2014</w:t>
            </w:r>
          </w:p>
        </w:tc>
        <w:tc>
          <w:tcPr>
            <w:tcW w:w="10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7"/>
                <w:szCs w:val="17"/>
                <w:color w:val="0000FF"/>
              </w:rPr>
              <w:t>07/01/2014</w:t>
            </w: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w w:val="99"/>
              </w:rPr>
              <w:t>1,500</w:t>
            </w:r>
            <w:r>
              <w:rPr>
                <w:rFonts w:ascii="Arial" w:cs="Arial" w:eastAsia="Arial" w:hAnsi="Arial"/>
                <w:sz w:val="22"/>
                <w:szCs w:val="22"/>
                <w:color w:val="008000"/>
                <w:w w:val="99"/>
                <w:vertAlign w:val="superscript"/>
              </w:rPr>
              <w:t>(3)</w:t>
            </w:r>
          </w:p>
        </w:tc>
        <w:tc>
          <w:tcPr>
            <w:tcW w:w="680" w:type="dxa"/>
            <w:vAlign w:val="bottom"/>
            <w:tcBorders>
              <w:bottom w:val="single" w:sz="8" w:color="2C2C2C"/>
            </w:tcBorders>
          </w:tcPr>
          <w:p>
            <w:pPr>
              <w:jc w:val="right"/>
              <w:ind w:right="193"/>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35.3333</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3,753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6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01/03/2015</w:t>
            </w:r>
            <w:r>
              <w:rPr>
                <w:rFonts w:ascii="Arial" w:cs="Arial" w:eastAsia="Arial" w:hAnsi="Arial"/>
                <w:sz w:val="22"/>
                <w:szCs w:val="22"/>
                <w:color w:val="008000"/>
                <w:vertAlign w:val="superscript"/>
              </w:rPr>
              <w:t>(4)</w:t>
            </w:r>
          </w:p>
        </w:tc>
        <w:tc>
          <w:tcPr>
            <w:tcW w:w="6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10.29</w:t>
            </w:r>
          </w:p>
        </w:tc>
        <w:tc>
          <w:tcPr>
            <w:tcW w:w="140" w:type="dxa"/>
            <w:vAlign w:val="bottom"/>
          </w:tcPr>
          <w:p>
            <w:pPr>
              <w:spacing w:after="0"/>
              <w:rPr>
                <w:sz w:val="12"/>
                <w:szCs w:val="12"/>
                <w:color w:val="auto"/>
              </w:rPr>
            </w:pPr>
          </w:p>
        </w:tc>
        <w:tc>
          <w:tcPr>
            <w:tcW w:w="108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07/01/2014</w:t>
            </w:r>
          </w:p>
        </w:tc>
        <w:tc>
          <w:tcPr>
            <w:tcW w:w="1180" w:type="dxa"/>
            <w:vAlign w:val="bottom"/>
          </w:tcPr>
          <w:p>
            <w:pPr>
              <w:ind w:left="320"/>
              <w:spacing w:after="0" w:line="145" w:lineRule="exact"/>
              <w:rPr>
                <w:sz w:val="20"/>
                <w:szCs w:val="20"/>
                <w:color w:val="auto"/>
              </w:rPr>
            </w:pPr>
            <w:r>
              <w:rPr>
                <w:rFonts w:ascii="Arial" w:cs="Arial" w:eastAsia="Arial" w:hAnsi="Arial"/>
                <w:sz w:val="13"/>
                <w:szCs w:val="13"/>
                <w:color w:val="0000FF"/>
              </w:rPr>
              <w:t>07/01/2014</w:t>
            </w:r>
          </w:p>
        </w:tc>
        <w:tc>
          <w:tcPr>
            <w:tcW w:w="100" w:type="dxa"/>
            <w:vAlign w:val="bottom"/>
          </w:tcPr>
          <w:p>
            <w:pPr>
              <w:spacing w:after="0"/>
              <w:rPr>
                <w:sz w:val="12"/>
                <w:szCs w:val="12"/>
                <w:color w:val="auto"/>
              </w:rPr>
            </w:pPr>
          </w:p>
        </w:tc>
        <w:tc>
          <w:tcPr>
            <w:tcW w:w="52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00" w:type="dxa"/>
            <w:vAlign w:val="bottom"/>
          </w:tcPr>
          <w:p>
            <w:pPr>
              <w:jc w:val="right"/>
              <w:ind w:right="39"/>
              <w:spacing w:after="0" w:line="145" w:lineRule="exact"/>
              <w:rPr>
                <w:sz w:val="20"/>
                <w:szCs w:val="20"/>
                <w:color w:val="auto"/>
              </w:rPr>
            </w:pPr>
            <w:r>
              <w:rPr>
                <w:rFonts w:ascii="Arial" w:cs="Arial" w:eastAsia="Arial" w:hAnsi="Arial"/>
                <w:sz w:val="13"/>
                <w:szCs w:val="13"/>
                <w:color w:val="0000FF"/>
              </w:rPr>
              <w:t>1,500</w:t>
            </w:r>
          </w:p>
        </w:tc>
        <w:tc>
          <w:tcPr>
            <w:tcW w:w="920" w:type="dxa"/>
            <w:vAlign w:val="bottom"/>
            <w:gridSpan w:val="3"/>
            <w:vMerge w:val="continue"/>
          </w:tcPr>
          <w:p>
            <w:pPr>
              <w:spacing w:after="0"/>
              <w:rPr>
                <w:sz w:val="12"/>
                <w:szCs w:val="12"/>
                <w:color w:val="auto"/>
              </w:rPr>
            </w:pPr>
          </w:p>
        </w:tc>
        <w:tc>
          <w:tcPr>
            <w:tcW w:w="680" w:type="dxa"/>
            <w:vAlign w:val="bottom"/>
          </w:tcPr>
          <w:p>
            <w:pPr>
              <w:spacing w:after="0" w:line="145" w:lineRule="exact"/>
              <w:rPr>
                <w:sz w:val="20"/>
                <w:szCs w:val="20"/>
                <w:color w:val="auto"/>
              </w:rPr>
            </w:pPr>
            <w:r>
              <w:rPr>
                <w:rFonts w:ascii="Arial" w:cs="Arial" w:eastAsia="Arial" w:hAnsi="Arial"/>
                <w:sz w:val="13"/>
                <w:szCs w:val="13"/>
                <w:color w:val="0000FF"/>
              </w:rPr>
              <w:t>01/02/2018</w:t>
            </w:r>
          </w:p>
        </w:tc>
        <w:tc>
          <w:tcPr>
            <w:tcW w:w="6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line="145" w:lineRule="exact"/>
              <w:rPr>
                <w:sz w:val="20"/>
                <w:szCs w:val="20"/>
                <w:color w:val="auto"/>
              </w:rPr>
            </w:pPr>
            <w:r>
              <w:rPr>
                <w:rFonts w:ascii="Arial" w:cs="Arial" w:eastAsia="Arial" w:hAnsi="Arial"/>
                <w:sz w:val="13"/>
                <w:szCs w:val="13"/>
                <w:color w:val="0000FF"/>
                <w:w w:val="98"/>
              </w:rPr>
              <w:t>8,983</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80"/>
              <w:spacing w:after="0" w:line="134"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403 shares acquired under the Isis Pharmaceuticals, Inc. Amended and Restated 2000 Employee Stock Purchase Plan on July 1, 2014. These 403 shares may not be sold until January 2, 2015.</w:t>
      </w:r>
    </w:p>
    <w:p>
      <w:pPr>
        <w:spacing w:after="0" w:line="63" w:lineRule="exact"/>
        <w:rPr>
          <w:rFonts w:ascii="Arial" w:cs="Arial" w:eastAsia="Arial" w:hAnsi="Arial"/>
          <w:sz w:val="12"/>
          <w:szCs w:val="12"/>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Acquired as a result of exercising a stock option pursuant to Rule 10b5-1 Trading Plan. The purchase and sale reported on this Form 4 was effective pursuant to Rule 10b5-1 Trading Plans adopted by the reporting person on 1/2/14.</w:t>
      </w:r>
    </w:p>
    <w:p>
      <w:pPr>
        <w:spacing w:after="0" w:line="10"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$35.20 to $35.50, inclusive. The reporting person undertakes to provide to Isis Pharmaceuticals, Inc., any security holder of Isis Pharmaceuticals, Inc. or the staff of the Securities and Exchange Commission, upon request, full information regarding the number of shares sold at each separate price within the ranges set forth in footnote (3) on this Form 4.</w:t>
      </w:r>
    </w:p>
    <w:p>
      <w:pPr>
        <w:spacing w:after="0" w:line="22"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1/3/2011 to reporting person of stock options under the Isis Pharmacueticals, Inc. 1989 Stock Option Plan. 25% of the shares subject to the option vested and became exercisable on 1/3/2012. Thereafter, the remaining shares subject to the option vest and become exercisable in 36 equal monthly installments, at the rate of 5,750 shares per year. Following this transaction, the option was exercisable as to 5,628 on 7/1/2014.</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/s/Patrick R. O'Neil</w:t>
            </w:r>
          </w:p>
        </w:tc>
        <w:tc>
          <w:tcPr>
            <w:tcW w:w="9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4926" TargetMode="External"/><Relationship Id="rId13"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2019-12-16T05:47:42Z</dcterms:created>
  <dcterms:modified xsi:type="dcterms:W3CDTF">2019-12-16T05:47:42Z</dcterms:modified>
</cp:coreProperties>
</file>