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ind w:left="2740"/>
        <w:spacing w:after="0"/>
        <w:rPr>
          <w:sz w:val="20"/>
          <w:szCs w:val="20"/>
          <w:color w:val="auto"/>
        </w:rPr>
      </w:pPr>
      <w:r>
        <w:rPr>
          <w:rFonts w:ascii="Courier New" w:cs="Courier New" w:eastAsia="Courier New" w:hAnsi="Courier New"/>
          <w:sz w:val="18"/>
          <w:szCs w:val="18"/>
          <w:color w:val="auto"/>
        </w:rPr>
        <w:t>------------------</w:t>
      </w:r>
    </w:p>
    <w:p>
      <w:pPr>
        <w:jc w:val="center"/>
        <w:ind w:right="2719"/>
        <w:spacing w:after="0" w:line="237" w:lineRule="auto"/>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420" w:right="283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quarterly period ended June 30, 1996</w:t>
      </w:r>
    </w:p>
    <w:p>
      <w:pPr>
        <w:spacing w:after="0" w:line="207" w:lineRule="exact"/>
        <w:rPr>
          <w:sz w:val="24"/>
          <w:szCs w:val="24"/>
          <w:color w:val="auto"/>
        </w:rPr>
      </w:pPr>
    </w:p>
    <w:p>
      <w:pPr>
        <w:ind w:left="420" w:right="27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For the transition period from to</w:t>
      </w:r>
    </w:p>
    <w:p>
      <w:pPr>
        <w:ind w:left="420"/>
        <w:spacing w:after="0" w:line="238" w:lineRule="auto"/>
        <w:rPr>
          <w:sz w:val="20"/>
          <w:szCs w:val="20"/>
          <w:color w:val="auto"/>
        </w:rPr>
      </w:pPr>
      <w:r>
        <w:rPr>
          <w:rFonts w:ascii="Courier New" w:cs="Courier New" w:eastAsia="Courier New" w:hAnsi="Courier New"/>
          <w:sz w:val="18"/>
          <w:szCs w:val="18"/>
          <w:color w:val="auto"/>
        </w:rPr>
        <w:t>Commission file number 0-19125</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ISIS PHARMACEUTICALS, INC.</w:t>
      </w:r>
    </w:p>
    <w:p>
      <w:pPr>
        <w:ind w:left="10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DELAWARE</w:t>
      </w:r>
    </w:p>
    <w:p>
      <w:pPr>
        <w:jc w:val="right"/>
        <w:ind w:right="5059"/>
        <w:spacing w:after="0" w:line="238" w:lineRule="auto"/>
        <w:rPr>
          <w:sz w:val="20"/>
          <w:szCs w:val="20"/>
          <w:color w:val="auto"/>
        </w:rPr>
      </w:pPr>
      <w:r>
        <w:rPr>
          <w:rFonts w:ascii="Courier New" w:cs="Courier New" w:eastAsia="Courier New" w:hAnsi="Courier New"/>
          <w:sz w:val="18"/>
          <w:szCs w:val="18"/>
          <w:color w:val="auto"/>
        </w:rPr>
        <w:t>(State or other jurisdiction of</w:t>
      </w:r>
    </w:p>
    <w:p>
      <w:pPr>
        <w:jc w:val="right"/>
        <w:ind w:right="5059"/>
        <w:spacing w:after="0"/>
        <w:rPr>
          <w:sz w:val="20"/>
          <w:szCs w:val="20"/>
          <w:color w:val="auto"/>
        </w:rPr>
      </w:pPr>
      <w:r>
        <w:rPr>
          <w:rFonts w:ascii="Courier New" w:cs="Courier New" w:eastAsia="Courier New" w:hAnsi="Courier New"/>
          <w:sz w:val="18"/>
          <w:szCs w:val="18"/>
          <w:color w:val="auto"/>
        </w:rPr>
        <w:t>incorporation or organization)</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33-0336973</w:t>
      </w:r>
    </w:p>
    <w:p>
      <w:pPr>
        <w:ind w:left="2000"/>
        <w:spacing w:after="0" w:line="238" w:lineRule="auto"/>
        <w:rPr>
          <w:sz w:val="20"/>
          <w:szCs w:val="20"/>
          <w:color w:val="auto"/>
        </w:rPr>
      </w:pPr>
      <w:r>
        <w:rPr>
          <w:rFonts w:ascii="Courier New" w:cs="Courier New" w:eastAsia="Courier New" w:hAnsi="Courier New"/>
          <w:sz w:val="18"/>
          <w:szCs w:val="18"/>
          <w:color w:val="auto"/>
        </w:rPr>
        <w:t>(I.R.S Employer Identification No.)</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2292 Faraday Avenue, Carlsbad, CA 92008</w:t>
      </w:r>
    </w:p>
    <w:p>
      <w:pPr>
        <w:ind w:left="1060"/>
        <w:spacing w:after="0" w:line="238"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619-931-9200</w:t>
      </w:r>
    </w:p>
    <w:p>
      <w:pPr>
        <w:ind w:left="13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3280" w:right="2939" w:hanging="2633"/>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8" w:lineRule="exact"/>
        <w:rPr>
          <w:sz w:val="24"/>
          <w:szCs w:val="24"/>
          <w:color w:val="auto"/>
        </w:rPr>
      </w:pPr>
    </w:p>
    <w:p>
      <w:pPr>
        <w:ind w:right="2739" w:firstLine="843"/>
        <w:spacing w:after="0" w:line="27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 (d) of the Securities Exchange Act of 1934 during the preceding 12 months (or of such shorter period that the registrant was required to file such reports), and (2) has been subject to such filing requirements for the past 90 days.</w:t>
      </w:r>
    </w:p>
    <w:p>
      <w:pPr>
        <w:spacing w:after="0" w:line="179" w:lineRule="exact"/>
        <w:rPr>
          <w:sz w:val="24"/>
          <w:szCs w:val="24"/>
          <w:color w:val="auto"/>
        </w:rPr>
      </w:pPr>
    </w:p>
    <w:p>
      <w:pPr>
        <w:ind w:left="2120"/>
        <w:spacing w:after="0"/>
        <w:tabs>
          <w:tab w:leader="none" w:pos="2720" w:val="left"/>
          <w:tab w:leader="none" w:pos="4420" w:val="left"/>
        </w:tabs>
        <w:rPr>
          <w:sz w:val="20"/>
          <w:szCs w:val="20"/>
          <w:color w:val="auto"/>
        </w:rPr>
      </w:pPr>
      <w:r>
        <w:rPr>
          <w:rFonts w:ascii="Courier New" w:cs="Courier New" w:eastAsia="Courier New" w:hAnsi="Courier New"/>
          <w:sz w:val="18"/>
          <w:szCs w:val="18"/>
          <w:color w:val="auto"/>
        </w:rPr>
        <w:t>(1)</w:t>
        <w:tab/>
        <w:t>YES X</w:t>
      </w:r>
      <w:r>
        <w:rPr>
          <w:sz w:val="20"/>
          <w:szCs w:val="20"/>
          <w:color w:val="auto"/>
        </w:rPr>
        <w:tab/>
      </w:r>
      <w:r>
        <w:rPr>
          <w:rFonts w:ascii="Courier New" w:cs="Courier New" w:eastAsia="Courier New" w:hAnsi="Courier New"/>
          <w:sz w:val="16"/>
          <w:szCs w:val="16"/>
          <w:color w:val="auto"/>
        </w:rPr>
        <w:t>(2) YES X</w:t>
      </w:r>
    </w:p>
    <w:p>
      <w:pPr>
        <w:spacing w:after="0" w:line="207" w:lineRule="exact"/>
        <w:rPr>
          <w:sz w:val="24"/>
          <w:szCs w:val="24"/>
          <w:color w:val="auto"/>
        </w:rPr>
      </w:pPr>
    </w:p>
    <w:p>
      <w:pPr>
        <w:ind w:right="3039" w:firstLine="843"/>
        <w:spacing w:after="0" w:line="29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2420" w:type="dxa"/>
            <w:vAlign w:val="bottom"/>
          </w:tcPr>
          <w:p>
            <w:pPr>
              <w:ind w:left="40"/>
              <w:spacing w:after="0"/>
              <w:rPr>
                <w:sz w:val="20"/>
                <w:szCs w:val="20"/>
                <w:color w:val="auto"/>
              </w:rPr>
            </w:pPr>
            <w:r>
              <w:rPr>
                <w:rFonts w:ascii="Courier New" w:cs="Courier New" w:eastAsia="Courier New" w:hAnsi="Courier New"/>
                <w:sz w:val="18"/>
                <w:szCs w:val="18"/>
                <w:color w:val="auto"/>
              </w:rPr>
              <w:t>stock $.001 par value</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25,674,548 shares</w:t>
            </w:r>
          </w:p>
        </w:tc>
        <w:tc>
          <w:tcPr>
            <w:tcW w:w="5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2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at July 26,</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w w:val="96"/>
              </w:rPr>
              <w:t>EXHIBIT INDEX:</w:t>
            </w:r>
          </w:p>
        </w:tc>
        <w:tc>
          <w:tcPr>
            <w:tcW w:w="3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 27 : FINANCIAL DATA SCHEDULE</w:t>
            </w: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244" w:right="1440" w:bottom="144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ISIS PHARMACEUTICALS, INC.</w:t>
      </w:r>
    </w:p>
    <w:p>
      <w:pPr>
        <w:spacing w:after="0" w:line="16"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8"/>
          <w:szCs w:val="18"/>
          <w:color w:val="auto"/>
        </w:rPr>
        <w:t>FORM 10-Q</w:t>
      </w:r>
    </w:p>
    <w:p>
      <w:pPr>
        <w:jc w:val="center"/>
        <w:ind w:right="3779"/>
        <w:spacing w:after="0" w:line="238" w:lineRule="auto"/>
        <w:rPr>
          <w:sz w:val="20"/>
          <w:szCs w:val="20"/>
          <w:color w:val="auto"/>
        </w:rPr>
      </w:pPr>
      <w:r>
        <w:rPr>
          <w:rFonts w:ascii="Courier New" w:cs="Courier New" w:eastAsia="Courier New" w:hAnsi="Courier New"/>
          <w:sz w:val="18"/>
          <w:szCs w:val="18"/>
          <w:color w:val="auto"/>
        </w:rPr>
        <w:t>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Condensed Balance Sheets as of June 30, 1996 and</w:t>
      </w:r>
    </w:p>
    <w:p>
      <w:pPr>
        <w:ind w:left="1280"/>
        <w:spacing w:after="0" w:line="238" w:lineRule="auto"/>
        <w:rPr>
          <w:sz w:val="20"/>
          <w:szCs w:val="20"/>
          <w:color w:val="auto"/>
        </w:rPr>
      </w:pPr>
      <w:r>
        <w:rPr>
          <w:rFonts w:ascii="Courier New" w:cs="Courier New" w:eastAsia="Courier New" w:hAnsi="Courier New"/>
          <w:sz w:val="18"/>
          <w:szCs w:val="18"/>
          <w:color w:val="auto"/>
        </w:rPr>
        <w:t>December 31, 1995</w:t>
      </w:r>
    </w:p>
    <w:p>
      <w:pPr>
        <w:spacing w:after="0" w:line="207" w:lineRule="exact"/>
        <w:rPr>
          <w:sz w:val="20"/>
          <w:szCs w:val="20"/>
          <w:color w:val="auto"/>
        </w:rPr>
      </w:pPr>
    </w:p>
    <w:p>
      <w:pPr>
        <w:ind w:left="1280" w:right="3159"/>
        <w:spacing w:after="0" w:line="235" w:lineRule="auto"/>
        <w:rPr>
          <w:sz w:val="20"/>
          <w:szCs w:val="20"/>
          <w:color w:val="auto"/>
        </w:rPr>
      </w:pPr>
      <w:r>
        <w:rPr>
          <w:rFonts w:ascii="Courier New" w:cs="Courier New" w:eastAsia="Courier New" w:hAnsi="Courier New"/>
          <w:sz w:val="18"/>
          <w:szCs w:val="18"/>
          <w:color w:val="auto"/>
        </w:rPr>
        <w:t>Condensed Statements of Operations for the three months and six months ended June 30, 1996 and 1995</w:t>
      </w:r>
    </w:p>
    <w:p>
      <w:pPr>
        <w:spacing w:after="0" w:line="208" w:lineRule="exact"/>
        <w:rPr>
          <w:sz w:val="20"/>
          <w:szCs w:val="20"/>
          <w:color w:val="auto"/>
        </w:rPr>
      </w:pPr>
    </w:p>
    <w:p>
      <w:pPr>
        <w:ind w:left="1280" w:right="3359"/>
        <w:spacing w:after="0" w:line="235" w:lineRule="auto"/>
        <w:rPr>
          <w:sz w:val="20"/>
          <w:szCs w:val="20"/>
          <w:color w:val="auto"/>
        </w:rPr>
      </w:pPr>
      <w:r>
        <w:rPr>
          <w:rFonts w:ascii="Courier New" w:cs="Courier New" w:eastAsia="Courier New" w:hAnsi="Courier New"/>
          <w:sz w:val="18"/>
          <w:szCs w:val="18"/>
          <w:color w:val="auto"/>
        </w:rPr>
        <w:t>Condensed Statements of Cash Flows for the six months ended June 30, 1996 and 1995</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Financial Statements</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Liquidity and Capital Resources</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Proceedings</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Changes in Securities</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 upon Senior Securities</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of Matters to a Vote of Security Holders</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ectPr>
          <w:pgSz w:w="11900" w:h="16838" w:orient="portrait"/>
          <w:cols w:equalWidth="0" w:num="2">
            <w:col w:w="740" w:space="540"/>
            <w:col w:w="8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139"/>
        <w:spacing w:after="0"/>
        <w:rPr>
          <w:sz w:val="20"/>
          <w:szCs w:val="20"/>
          <w:color w:val="auto"/>
        </w:rPr>
      </w:pPr>
      <w:r>
        <w:rPr>
          <w:rFonts w:ascii="Courier New" w:cs="Courier New" w:eastAsia="Courier New" w:hAnsi="Courier New"/>
          <w:sz w:val="18"/>
          <w:szCs w:val="18"/>
          <w:color w:val="auto"/>
        </w:rPr>
        <w:t>ISIS PHARMACEUTICALS, INC.</w:t>
      </w:r>
    </w:p>
    <w:p>
      <w:pPr>
        <w:jc w:val="center"/>
        <w:ind w:right="1139"/>
        <w:spacing w:after="0" w:line="238" w:lineRule="auto"/>
        <w:rPr>
          <w:sz w:val="20"/>
          <w:szCs w:val="20"/>
          <w:color w:val="auto"/>
        </w:rPr>
      </w:pPr>
      <w:r>
        <w:rPr>
          <w:rFonts w:ascii="Courier New" w:cs="Courier New" w:eastAsia="Courier New" w:hAnsi="Courier New"/>
          <w:sz w:val="18"/>
          <w:szCs w:val="18"/>
          <w:color w:val="auto"/>
        </w:rPr>
        <w:t>CONDENSED BALANCE SHEETS</w:t>
      </w:r>
    </w:p>
    <w:tbl>
      <w:tblPr>
        <w:tblLayout w:type="fixed"/>
        <w:tblInd w:w="0" w:type="dxa"/>
        <w:tblCellMar>
          <w:top w:w="0" w:type="dxa"/>
          <w:left w:w="0" w:type="dxa"/>
          <w:bottom w:w="0" w:type="dxa"/>
          <w:right w:w="0" w:type="dxa"/>
        </w:tblCellMar>
      </w:tblPr>
      <w:tr>
        <w:trPr>
          <w:trHeight w:val="203"/>
        </w:trPr>
        <w:tc>
          <w:tcPr>
            <w:tcW w:w="648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(in thousands, except share data)</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4740" w:type="dxa"/>
            <w:vAlign w:val="bottom"/>
          </w:tcPr>
          <w:p>
            <w:pPr>
              <w:ind w:left="3380"/>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June 30,</w:t>
            </w:r>
          </w:p>
        </w:tc>
        <w:tc>
          <w:tcPr>
            <w:tcW w:w="26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Dec 31</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25,520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46,463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43,051</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30,944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1,649</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1,638</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70,220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79,045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32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15,522</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14,631</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 cost, net</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5,113</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4,773</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Deposits and other assets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768</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1,120</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91,623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99,569</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gridSpan w:val="3"/>
          </w:tcPr>
          <w:p>
            <w:pPr>
              <w:jc w:val="right"/>
              <w:ind w:right="1012"/>
              <w:spacing w:after="0"/>
              <w:rPr>
                <w:sz w:val="20"/>
                <w:szCs w:val="20"/>
                <w:color w:val="auto"/>
              </w:rPr>
            </w:pPr>
            <w:r>
              <w:rPr>
                <w:rFonts w:ascii="Courier New" w:cs="Courier New" w:eastAsia="Courier New" w:hAnsi="Courier New"/>
                <w:sz w:val="18"/>
                <w:szCs w:val="18"/>
                <w:color w:val="auto"/>
              </w:rPr>
              <w:t>LIABILITIES AND STOCKHOLDERS' EQUITY</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997</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payroll and related expenses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1,124</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1,249</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2,866</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contract revenues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11,281</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 and</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 obligations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4,972</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5,008</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20,907</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Long-term debt and capital lease obligations,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current portion</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4,884</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50,000,000 shares authorized,</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25,616,000 shares and 25,249,000 shares</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issued and outstanding at June 30, 1996 and</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 1995, respectively</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174,568</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172,253</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Unrealized gain on investments</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2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(108,920)</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(96,546)</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65,832</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75,850</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91,623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99,569</w:t>
            </w:r>
          </w:p>
        </w:tc>
      </w:tr>
      <w:tr>
        <w:trPr>
          <w:trHeight w:val="203"/>
        </w:trPr>
        <w:tc>
          <w:tcPr>
            <w:tcW w:w="4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3359" w:firstLine="105"/>
        <w:spacing w:after="0" w:line="235" w:lineRule="auto"/>
        <w:rPr>
          <w:sz w:val="20"/>
          <w:szCs w:val="20"/>
          <w:color w:val="auto"/>
        </w:rPr>
      </w:pPr>
      <w:r>
        <w:rPr>
          <w:rFonts w:ascii="Courier New" w:cs="Courier New" w:eastAsia="Courier New" w:hAnsi="Courier New"/>
          <w:sz w:val="18"/>
          <w:szCs w:val="18"/>
          <w:color w:val="auto"/>
        </w:rPr>
        <w:t>The balance sheet at December 31, 1995 has been derived from the audited financial statements at that date.</w:t>
      </w:r>
    </w:p>
    <w:p>
      <w:pPr>
        <w:ind w:left="12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ISIS PHARMACEUTICALS, INC.</w:t>
      </w:r>
    </w:p>
    <w:p>
      <w:pPr>
        <w:jc w:val="center"/>
        <w:ind w:right="2199"/>
        <w:spacing w:after="0" w:line="238" w:lineRule="auto"/>
        <w:rPr>
          <w:sz w:val="20"/>
          <w:szCs w:val="20"/>
          <w:color w:val="auto"/>
        </w:rPr>
      </w:pPr>
      <w:r>
        <w:rPr>
          <w:rFonts w:ascii="Courier New" w:cs="Courier New" w:eastAsia="Courier New" w:hAnsi="Courier New"/>
          <w:sz w:val="18"/>
          <w:szCs w:val="18"/>
          <w:color w:val="auto"/>
        </w:rPr>
        <w:t>CONDENSED STATEMENTS OF OPERATIONS</w:t>
      </w:r>
    </w:p>
    <w:p>
      <w:pPr>
        <w:ind w:left="1800"/>
        <w:spacing w:after="0"/>
        <w:rPr>
          <w:sz w:val="20"/>
          <w:szCs w:val="20"/>
          <w:color w:val="auto"/>
        </w:rPr>
      </w:pPr>
      <w:r>
        <w:rPr>
          <w:rFonts w:ascii="Courier New" w:cs="Courier New" w:eastAsia="Courier New" w:hAnsi="Courier New"/>
          <w:sz w:val="18"/>
          <w:szCs w:val="18"/>
          <w:color w:val="auto"/>
        </w:rPr>
        <w:t>(in thousands, except for per share amounts)</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revenue under</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collaborative agreements:</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4,719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3,298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540" w:type="dxa"/>
            <w:vAlign w:val="bottom"/>
          </w:tcPr>
          <w:p>
            <w:pPr>
              <w:spacing w:after="0"/>
              <w:rPr>
                <w:sz w:val="17"/>
                <w:szCs w:val="17"/>
                <w:color w:val="auto"/>
              </w:rPr>
            </w:pP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1,011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5,730</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3,774</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40" w:type="dxa"/>
            <w:vAlign w:val="bottom"/>
          </w:tcPr>
          <w:p>
            <w:pPr>
              <w:spacing w:after="0"/>
              <w:rPr>
                <w:sz w:val="17"/>
                <w:szCs w:val="17"/>
                <w:color w:val="auto"/>
              </w:rPr>
            </w:pP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11,212</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540" w:type="dxa"/>
            <w:vAlign w:val="bottom"/>
          </w:tcPr>
          <w:p>
            <w:pPr>
              <w:spacing w:after="0"/>
              <w:rPr>
                <w:sz w:val="17"/>
                <w:szCs w:val="17"/>
                <w:color w:val="auto"/>
              </w:rPr>
            </w:pP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1,601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1,422</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540" w:type="dxa"/>
            <w:vAlign w:val="bottom"/>
          </w:tcPr>
          <w:p>
            <w:pPr>
              <w:spacing w:after="0"/>
              <w:rPr>
                <w:sz w:val="17"/>
                <w:szCs w:val="17"/>
                <w:color w:val="auto"/>
              </w:rPr>
            </w:pP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238</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13,051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9,638</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(7,321)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(5,864)</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Loss per share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(.29)</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540" w:type="dxa"/>
            <w:vAlign w:val="bottom"/>
          </w:tcPr>
          <w:p>
            <w:pPr>
              <w:spacing w:after="0"/>
              <w:rPr>
                <w:sz w:val="24"/>
                <w:szCs w:val="24"/>
                <w:color w:val="auto"/>
              </w:rPr>
            </w:pPr>
          </w:p>
        </w:tc>
        <w:tc>
          <w:tcPr>
            <w:tcW w:w="15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25,459</w:t>
            </w:r>
          </w:p>
        </w:tc>
        <w:tc>
          <w:tcPr>
            <w:tcW w:w="1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19,833</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 revenue under</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collaborative agreements:</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10,078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2,061</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12,139</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6,869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21,028</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15,359</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2,999</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2,693</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486</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577</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24,513</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18,629</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(12,374)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(11,760)</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bl>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Weighted average common shares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25,404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19,796</w:t>
      </w:r>
    </w:p>
    <w:p>
      <w:pPr>
        <w:spacing w:after="0" w:line="200" w:lineRule="exact"/>
        <w:rPr>
          <w:sz w:val="20"/>
          <w:szCs w:val="20"/>
          <w:color w:val="auto"/>
        </w:rPr>
      </w:pPr>
    </w:p>
    <w:p>
      <w:pPr>
        <w:sectPr>
          <w:pgSz w:w="11900" w:h="16838" w:orient="portrait"/>
          <w:cols w:equalWidth="0" w:num="3">
            <w:col w:w="4440" w:space="720"/>
            <w:col w:w="860" w:space="720"/>
            <w:col w:w="3479"/>
          </w:cols>
          <w:pgMar w:left="240" w:top="317" w:right="1440" w:bottom="1440" w:gutter="0" w:footer="0" w:header="0"/>
          <w:type w:val="continuous"/>
        </w:sectPr>
      </w:pPr>
    </w:p>
    <w:p>
      <w:pPr>
        <w:spacing w:after="0" w:line="2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317" w:right="1440" w:bottom="1440" w:gutter="0" w:footer="0" w:header="0"/>
          <w:type w:val="continuous"/>
        </w:sect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10219"/>
          </w:cols>
          <w:pgMar w:left="240" w:top="317" w:right="1440" w:bottom="1440" w:gutter="0" w:footer="0" w:header="0"/>
          <w:type w:val="continuous"/>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ISIS PHARMACEUTICALS, INC.</w:t>
      </w:r>
    </w:p>
    <w:p>
      <w:pPr>
        <w:jc w:val="center"/>
        <w:ind w:right="2519"/>
        <w:spacing w:after="0" w:line="238" w:lineRule="auto"/>
        <w:rPr>
          <w:sz w:val="20"/>
          <w:szCs w:val="20"/>
          <w:color w:val="auto"/>
        </w:rPr>
      </w:pPr>
      <w:r>
        <w:rPr>
          <w:rFonts w:ascii="Courier New" w:cs="Courier New" w:eastAsia="Courier New" w:hAnsi="Courier New"/>
          <w:sz w:val="18"/>
          <w:szCs w:val="18"/>
          <w:color w:val="auto"/>
        </w:rPr>
        <w:t>CONDENSED STATEMENT OF CASH FLOWS</w:t>
      </w:r>
    </w:p>
    <w:p>
      <w:pPr>
        <w:jc w:val="center"/>
        <w:ind w:right="2619"/>
        <w:spacing w:after="0"/>
        <w:rPr>
          <w:sz w:val="20"/>
          <w:szCs w:val="20"/>
          <w:color w:val="auto"/>
        </w:rPr>
      </w:pPr>
      <w:r>
        <w:rPr>
          <w:rFonts w:ascii="Courier New" w:cs="Courier New" w:eastAsia="Courier New" w:hAnsi="Courier New"/>
          <w:sz w:val="18"/>
          <w:szCs w:val="18"/>
          <w:color w:val="auto"/>
        </w:rPr>
        <w:t>(in thousands)</w:t>
      </w:r>
    </w:p>
    <w:p>
      <w:pPr>
        <w:ind w:left="32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used in operations: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(9,172)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(9,038)</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(12,107)</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13,251</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(802)</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(18)</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provided from (used in)</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(12,927)</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12,585</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Net proceeds from issuance of common stock</w:t>
            </w:r>
          </w:p>
        </w:tc>
        <w:tc>
          <w:tcPr>
            <w:tcW w:w="1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2,316</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3,771</w:t>
            </w: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payments on debt and</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capital lease obligations</w:t>
            </w: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(1,160)</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(1,416)</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provided from financing</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1,156</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2,355</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(decrease)in cash and</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equivalents</w:t>
            </w: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(20,943)</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5,902</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period</w:t>
            </w:r>
          </w:p>
        </w:tc>
        <w:tc>
          <w:tcPr>
            <w:tcW w:w="160" w:type="dxa"/>
            <w:vAlign w:val="bottom"/>
          </w:tcPr>
          <w:p>
            <w:pPr>
              <w:spacing w:after="0"/>
              <w:rPr>
                <w:sz w:val="17"/>
                <w:szCs w:val="17"/>
                <w:color w:val="auto"/>
              </w:rPr>
            </w:pP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46,463</w:t>
            </w:r>
          </w:p>
        </w:tc>
        <w:tc>
          <w:tcPr>
            <w:tcW w:w="2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12,926</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25,520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18,828</w:t>
            </w:r>
          </w:p>
        </w:tc>
      </w:tr>
      <w:tr>
        <w:trPr>
          <w:trHeight w:val="203"/>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gridSpan w:val="3"/>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486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575</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SUPPLEMENTAL DISCLOSURE OF NON-CASH INVESTING</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FINANCING ACTIVITIES: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capital lease obligations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acquisitions of property, plant</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1,294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bookmarkStart w:id="7" w:name="page8"/>
    <w:bookmarkEnd w:id="7"/>
    <w:p>
      <w:pPr>
        <w:ind w:left="2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ISIS PHARMACEUTICALS,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2939" w:firstLine="527"/>
        <w:spacing w:after="0" w:line="238" w:lineRule="auto"/>
        <w:rPr>
          <w:sz w:val="20"/>
          <w:szCs w:val="20"/>
          <w:color w:val="auto"/>
        </w:rPr>
      </w:pPr>
      <w:r>
        <w:rPr>
          <w:rFonts w:ascii="Courier New" w:cs="Courier New" w:eastAsia="Courier New" w:hAnsi="Courier New"/>
          <w:sz w:val="18"/>
          <w:szCs w:val="18"/>
          <w:color w:val="auto"/>
        </w:rPr>
        <w:t>The unaudited interim financial statements for the three and six month periods ended June 30, 1996 and 1995 have been prepared on the same basis as the Company's audited financial statements for the year ended December 31, 1995. The financial statements include all adjustments (consisting only of normal recurring adjustments) which the Company considers necessary for a fair presentation of the financial position at such dates and the operating results and cash flows for those periods. Results for the interim periods are not necessarily indicative of the results for the entire year. For more complete financial information, these financial statements, and notes thereto, should be read in conjunction with the audited financial statements for the year ended December 31, 1995 included in the Company's Annual Report on Form 10-K filed with the Securities and Exchange Commission.</w:t>
      </w:r>
    </w:p>
    <w:p>
      <w:pPr>
        <w:sectPr>
          <w:pgSz w:w="11900" w:h="16838" w:orient="portrait"/>
          <w:cols w:equalWidth="0" w:num="1">
            <w:col w:w="10219"/>
          </w:cols>
          <w:pgMar w:left="240" w:top="312" w:right="1440" w:bottom="1440" w:gutter="0" w:footer="0" w:header="0"/>
        </w:sectPr>
      </w:pPr>
    </w:p>
    <w:bookmarkStart w:id="8" w:name="page9"/>
    <w:bookmarkEnd w:id="8"/>
    <w:p>
      <w:pPr>
        <w:ind w:left="2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960" w:right="303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208"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In addition to historical information contained in this Report, this Report contains forward-looking statements regarding the Company's business and products. Such statements are subject to certain risks and uncertainties, particularly those inherent in the process of discovering developing and commercializing drugs that can be proven to be safe and effective for use as human therapeutics, and the endeavor of building a business around such potential products. Actual results could differ materially from those projected in this Form 10-Q. As a result, the reader is cautioned not to rely on these forward-looking statements. These and other risks are described in additional detail in Isis' Annual Report on Form 10-K for the year ended December 31, 1995</w:t>
      </w:r>
    </w:p>
    <w:p>
      <w:pPr>
        <w:spacing w:after="0" w:line="18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which is on file with the U.S. Securities and Exchange Commission, a copy of which is available from the Company.</w:t>
      </w:r>
    </w:p>
    <w:p>
      <w:pPr>
        <w:spacing w:after="0" w:line="208" w:lineRule="exact"/>
        <w:rPr>
          <w:sz w:val="20"/>
          <w:szCs w:val="20"/>
          <w:color w:val="auto"/>
        </w:rPr>
      </w:pPr>
    </w:p>
    <w:p>
      <w:pPr>
        <w:ind w:right="3259" w:firstLine="527"/>
        <w:spacing w:after="0" w:line="270" w:lineRule="auto"/>
        <w:rPr>
          <w:sz w:val="20"/>
          <w:szCs w:val="20"/>
          <w:color w:val="auto"/>
        </w:rPr>
      </w:pPr>
      <w:r>
        <w:rPr>
          <w:rFonts w:ascii="Courier New" w:cs="Courier New" w:eastAsia="Courier New" w:hAnsi="Courier New"/>
          <w:sz w:val="16"/>
          <w:szCs w:val="16"/>
          <w:color w:val="auto"/>
        </w:rPr>
        <w:t>Since its inception in January 1989, the Company has devoted substantially all of its resources to its research, drug discovery and development programs. The Company has been unprofitable since its inception and expects to incur additional operating losses for the next several years. The Company has entered into collaborative research and development agreements with pharmaceutical companies that generate revenue to augment the level of research and development activity and to offset portions of its research and development costs. To date, the Company has not received any significant revenue from the sale of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The Company had contract revenue of $4.7 million for the second quarter and $10.1 million for the six-month period ended</w:t>
      </w:r>
    </w:p>
    <w:p>
      <w:pPr>
        <w:spacing w:after="0" w:line="6"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June 30, 1996, compared with $3.3 million and $ 5.9 million, respectively, for the same periods in 1995. The revenue increase was primarily due to revenue received under an expanded collaborative agreement with Ciba-Geigy Limited for the development of two drug candidates identified through the collaborative research program between Ciba and Isis. Additional revenue from a collaborative agreement with Boehringer Ingelheim International GmbH also contributed to the increase. The Company also had interest income totaling $1.0 million for the quarter and $2.1 million for the six month period, compared with $0.5 million and $1.0 million</w:t>
      </w:r>
    </w:p>
    <w:p>
      <w:pPr>
        <w:spacing w:after="0" w:line="18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for the same periods in 1995. The increase in interest income was primarily due to higher investment balances in the first half of 1996.</w:t>
      </w:r>
    </w:p>
    <w:p>
      <w:pPr>
        <w:spacing w:after="0" w:line="209"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Research and development expenses increased to $11.2 million for the three months and $21.0 million for the six months ended</w:t>
      </w:r>
    </w:p>
    <w:p>
      <w:pPr>
        <w:spacing w:after="0" w:line="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June 30, 1996 from $7.9 million and $15.4 million during the same periods in 1995. These increases are primarily attributable to an increase in clinical development activities. The Company expects that its research and development expenses will continue to increase as its current preclinical and clinical activities continue and additional preclinical and clinical studies are undertaken.</w:t>
      </w:r>
    </w:p>
    <w:p>
      <w:pPr>
        <w:spacing w:after="0" w:line="210"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General and administrative expenses increased to $1.6 million for the quarter and $3.0 million for the six months ended June 30, 1996 from $1.4 million and $2.7 million for the same periods in 1995.</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The Company expects that its general and administrative expenses will increase in the future in support of its expanding operations.</w:t>
      </w:r>
    </w:p>
    <w:p>
      <w:pPr>
        <w:spacing w:after="0" w:line="208"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During the quarter ended June 30, 1996, the Company recorded a net loss of $7.3 million, or $0.29 per share, compared with $5.9 million, or $0.30 per share, for the same period in 1995. During the six-month period ended June 30, 1996, the Company's net loss amounted to $12.4 million, or $0.49 per share, compared to $11.8 million, or $0.59 per share for the same period in 1995. The changes in net loss per share from 1995 to 1996 include the effect of increases in the weighted average number of shares outstanding due to the issuance of stock</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in the second half of 1995 in conjunction with an equity offering and corporate collaborations. The Company expects its operating losses will increase for the remainder of the fiscal year and beyond as its activities grow, and may fluctuate from quarter to quarter as a result of differences in timing and composition of revenue earned and expenses incurred.</w:t>
      </w:r>
    </w:p>
    <w:p>
      <w:pPr>
        <w:spacing w:after="0" w:line="210"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Company believes that inflation and changing prices have not had a material effect on its ongoing operations to date.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Since its inception, the Company has financed its operations primarily through the sale of equity securities, raising to date a net aggregate of $169 million, as of June 30, 1996, from the private and public sale of such securities. The company has also financed a portion of its operations through contract research revenue, portions of which were paid in advance of work being performed, offsetting the Company's cash usage for operations.</w:t>
      </w:r>
    </w:p>
    <w:p>
      <w:pPr>
        <w:spacing w:after="0" w:line="211" w:lineRule="exact"/>
        <w:rPr>
          <w:sz w:val="20"/>
          <w:szCs w:val="20"/>
          <w:color w:val="auto"/>
        </w:rPr>
      </w:pPr>
    </w:p>
    <w:p>
      <w:pPr>
        <w:ind w:right="3039" w:firstLine="527"/>
        <w:spacing w:after="0" w:line="272" w:lineRule="auto"/>
        <w:rPr>
          <w:sz w:val="20"/>
          <w:szCs w:val="20"/>
          <w:color w:val="auto"/>
        </w:rPr>
      </w:pPr>
      <w:r>
        <w:rPr>
          <w:rFonts w:ascii="Courier New" w:cs="Courier New" w:eastAsia="Courier New" w:hAnsi="Courier New"/>
          <w:sz w:val="16"/>
          <w:szCs w:val="16"/>
          <w:color w:val="auto"/>
        </w:rPr>
        <w:t>As of June 30, 1996, the Company had cash, cash equivalents and short-term investments totaling $68.6 million and working capital of $49.3 million, compared with $77.4 million and $60.0 million, respectively, as of December 31, 1995. The decreases in cash and working capital resulted from funding operating losses and making principal repayments on debt and capital lease obligations.</w:t>
      </w:r>
    </w:p>
    <w:p>
      <w:pPr>
        <w:spacing w:after="0" w:line="186"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Company had long-term debt and capital lease obligations at June 30, 1996 totaling $9.9 million, versus $9.7 million at December 31, 1995. This increase, which was partially offset by principal repayments on existing obligations, was due to additional capital lease financing. The Company expects that its capital lease obligations will increase over time to fund capital equipment acquisitions required for its expanding business. Lease lines will continue to be used by the Company to the extent that the terms thereof remain commercially attractive.</w:t>
      </w:r>
    </w:p>
    <w:p>
      <w:pPr>
        <w:spacing w:after="0" w:line="214" w:lineRule="exact"/>
        <w:rPr>
          <w:sz w:val="20"/>
          <w:szCs w:val="20"/>
          <w:color w:val="auto"/>
        </w:rPr>
      </w:pPr>
    </w:p>
    <w:p>
      <w:pPr>
        <w:ind w:right="2839" w:firstLine="527"/>
        <w:spacing w:after="0" w:line="275" w:lineRule="auto"/>
        <w:rPr>
          <w:sz w:val="20"/>
          <w:szCs w:val="20"/>
          <w:color w:val="auto"/>
        </w:rPr>
      </w:pPr>
      <w:r>
        <w:rPr>
          <w:rFonts w:ascii="Courier New" w:cs="Courier New" w:eastAsia="Courier New" w:hAnsi="Courier New"/>
          <w:sz w:val="16"/>
          <w:szCs w:val="16"/>
          <w:color w:val="auto"/>
        </w:rPr>
        <w:t>The Company expects to incur substantial additional research and development costs related primarily to preclinical testing, clinical trials, and manufacturing process development and expects losses to continue to increase as the Company's preclinical testing and clinical</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trial efforts expand. It is the Company's intention to seek additional collaborative research and development relationships with suitable potential corporate partners. There can be no assurance that any agreements resulting from these discussions will successfully</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reduce the Company's funding requirements, and arrangements with collaborative partners or others may require the Company to relinquish rights to certain of its technologies, product candidates or products. Additional equity or debt financings may be required, and there can be no assurance that these funds will be available on favorable terms, if at all. If additional funds are raised by issuing equity securities, further dilution to then existing stockholders may result.</w:t>
      </w:r>
    </w:p>
    <w:p>
      <w:pPr>
        <w:spacing w:after="0" w:line="212" w:lineRule="exact"/>
        <w:rPr>
          <w:sz w:val="20"/>
          <w:szCs w:val="20"/>
          <w:color w:val="auto"/>
        </w:rPr>
      </w:pPr>
    </w:p>
    <w:p>
      <w:pPr>
        <w:ind w:right="2739" w:firstLine="527"/>
        <w:spacing w:after="0" w:line="238" w:lineRule="auto"/>
        <w:rPr>
          <w:sz w:val="20"/>
          <w:szCs w:val="20"/>
          <w:color w:val="auto"/>
        </w:rPr>
      </w:pPr>
      <w:r>
        <w:rPr>
          <w:rFonts w:ascii="Courier New" w:cs="Courier New" w:eastAsia="Courier New" w:hAnsi="Courier New"/>
          <w:sz w:val="18"/>
          <w:szCs w:val="18"/>
          <w:color w:val="auto"/>
        </w:rPr>
        <w:t>The Company believes that its existing available cash, cash equivalents and short-term investments, combined with anticipated interest income and contract revenue, will be sufficient to meet its anticipated requirements for at least two years. The Company's future capital requirements will depend on many factors, including continued scientific progress in its research, drug discovery and development programs, the magnitude of these programs and progress with preclinical and clinical trials; the time and costs involved in obtaining regulatory approvals; the costs involved in filing, prosecuting and enforcing patent claims; competing technological and market developments; changes in the existing collaborative research and development relationships; the ability of the Company to establish additional research and development arrangements; and the cost of manufacturing scale-up and effective commercialization activities and arrangements. If adequate funds are not available, the Company may be required to significantly curtail one or more of its research, drug discovery or development programs.</w:t>
      </w:r>
    </w:p>
    <w:p>
      <w:pPr>
        <w:spacing w:after="0" w:line="209"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Uncertainties associated with the length and expense of preclinical and clinical testing of any of the Company's products could greatly increase the cost of development of such product and affect the timing of anticipated revenue from product sales, and failure by the Company to obtain regulatory approval for any product will preclude its commercialization. In addition, the failure by the Company to obtain patent protection for its products may make certain of its products commercially unattractive.</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Company is not party to any legal proceedings.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left="1700" w:right="3159" w:hanging="428"/>
        <w:spacing w:after="0" w:line="235" w:lineRule="auto"/>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its Annual Meeting of Stockholders on May 31, 1996.</w:t>
      </w:r>
    </w:p>
    <w:p>
      <w:pPr>
        <w:spacing w:after="0" w:line="208" w:lineRule="exact"/>
        <w:rPr>
          <w:rFonts w:ascii="Courier New" w:cs="Courier New" w:eastAsia="Courier New" w:hAnsi="Courier New"/>
          <w:sz w:val="18"/>
          <w:szCs w:val="18"/>
          <w:color w:val="auto"/>
        </w:rPr>
      </w:pPr>
    </w:p>
    <w:p>
      <w:pPr>
        <w:ind w:left="1700" w:right="3579" w:hanging="428"/>
        <w:spacing w:after="0" w:line="275" w:lineRule="auto"/>
        <w:tabs>
          <w:tab w:leader="none" w:pos="17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Daniel L. Kisner, M.D., Larry Soll, Ph.D. and Joseph H. Wender were elected to serve as directors for a three-year term and until their successors are duly elected and qualified.</w:t>
      </w:r>
    </w:p>
    <w:p>
      <w:pPr>
        <w:spacing w:after="0" w:line="200" w:lineRule="exact"/>
        <w:rPr>
          <w:sz w:val="20"/>
          <w:szCs w:val="20"/>
          <w:color w:val="auto"/>
        </w:rPr>
      </w:pPr>
    </w:p>
    <w:p>
      <w:pPr>
        <w:spacing w:after="0" w:line="382"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Votes in Favor</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Votes Withheld</w:t>
            </w:r>
          </w:p>
        </w:tc>
      </w:tr>
      <w:tr>
        <w:trPr>
          <w:trHeight w:val="203"/>
        </w:trPr>
        <w:tc>
          <w:tcPr>
            <w:tcW w:w="2320" w:type="dxa"/>
            <w:vAlign w:val="bottom"/>
          </w:tcPr>
          <w:p>
            <w:pPr>
              <w:spacing w:after="0"/>
              <w:rPr>
                <w:sz w:val="17"/>
                <w:szCs w:val="17"/>
                <w:color w:val="auto"/>
              </w:rPr>
            </w:pP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w w:val="96"/>
              </w:rPr>
              <w:t>Daniel L. Kisner, M.D.</w:t>
            </w:r>
          </w:p>
        </w:tc>
        <w:tc>
          <w:tcPr>
            <w:tcW w:w="1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21,359,093</w:t>
            </w:r>
          </w:p>
        </w:tc>
        <w:tc>
          <w:tcPr>
            <w:tcW w:w="18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741,096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Larry Soll, Ph.D.</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21,358,593</w:t>
            </w: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741,596</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H. Wender</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21,358,893</w:t>
            </w:r>
          </w:p>
        </w:tc>
        <w:tc>
          <w:tcPr>
            <w:tcW w:w="1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741,296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Other directors whose terms of office continued after the</w:t>
      </w:r>
    </w:p>
    <w:p>
      <w:pPr>
        <w:ind w:left="1380"/>
        <w:spacing w:after="0" w:line="238" w:lineRule="auto"/>
        <w:rPr>
          <w:sz w:val="20"/>
          <w:szCs w:val="20"/>
          <w:color w:val="auto"/>
        </w:rPr>
      </w:pPr>
      <w:r>
        <w:rPr>
          <w:rFonts w:ascii="Courier New" w:cs="Courier New" w:eastAsia="Courier New" w:hAnsi="Courier New"/>
          <w:sz w:val="18"/>
          <w:szCs w:val="18"/>
          <w:color w:val="auto"/>
        </w:rPr>
        <w:t>Annual Meeting were as follows:</w:t>
      </w:r>
    </w:p>
    <w:p>
      <w:pPr>
        <w:spacing w:after="0" w:line="5" w:lineRule="exact"/>
        <w:rPr>
          <w:sz w:val="20"/>
          <w:szCs w:val="20"/>
          <w:color w:val="auto"/>
        </w:rPr>
      </w:pPr>
    </w:p>
    <w:p>
      <w:pPr>
        <w:ind w:left="1380" w:right="3579"/>
        <w:spacing w:after="0" w:line="236" w:lineRule="auto"/>
        <w:rPr>
          <w:sz w:val="20"/>
          <w:szCs w:val="20"/>
          <w:color w:val="auto"/>
        </w:rPr>
      </w:pPr>
      <w:r>
        <w:rPr>
          <w:rFonts w:ascii="Courier New" w:cs="Courier New" w:eastAsia="Courier New" w:hAnsi="Courier New"/>
          <w:sz w:val="18"/>
          <w:szCs w:val="18"/>
          <w:color w:val="auto"/>
        </w:rPr>
        <w:t>Stanley T. Crooke, M.D., Ph.D., Mark B. Skaletsky, Alan C. Mendelson, William R. Miller, Christopher F.O. Gabrieli and Cristoph Hohbach.</w:t>
      </w:r>
    </w:p>
    <w:p>
      <w:pPr>
        <w:spacing w:after="0" w:line="209" w:lineRule="exact"/>
        <w:rPr>
          <w:sz w:val="20"/>
          <w:szCs w:val="20"/>
          <w:color w:val="auto"/>
        </w:rPr>
      </w:pPr>
    </w:p>
    <w:p>
      <w:pPr>
        <w:ind w:left="1700" w:right="4199" w:hanging="323"/>
        <w:spacing w:after="0" w:line="235" w:lineRule="auto"/>
        <w:tabs>
          <w:tab w:leader="none" w:pos="180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items were approved at the Annual Meeting:</w:t>
      </w:r>
    </w:p>
    <w:p>
      <w:pPr>
        <w:spacing w:after="0" w:line="5" w:lineRule="exact"/>
        <w:rPr>
          <w:rFonts w:ascii="Courier New" w:cs="Courier New" w:eastAsia="Courier New" w:hAnsi="Courier New"/>
          <w:sz w:val="18"/>
          <w:szCs w:val="18"/>
          <w:color w:val="auto"/>
        </w:rPr>
      </w:pPr>
    </w:p>
    <w:p>
      <w:pPr>
        <w:ind w:left="2320" w:right="3899" w:hanging="100"/>
        <w:spacing w:after="0" w:line="237" w:lineRule="auto"/>
        <w:tabs>
          <w:tab w:leader="none" w:pos="2636"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increase in the number of shares authorized for issuance under the Company's 1989 Stock Option Plan from 6,000,000 to 8,200,0000.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Votes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in favor:</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13,451,477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withheld:</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2,709,615</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Abstentions: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543,304</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Unvoted:</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5,395,793</w:t>
            </w:r>
          </w:p>
        </w:tc>
      </w:tr>
    </w:tbl>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2320" w:right="3259" w:hanging="100"/>
        <w:spacing w:after="0" w:line="272" w:lineRule="auto"/>
        <w:tabs>
          <w:tab w:leader="none" w:pos="263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increase in the number of shares authorized for issuance under the Company's 1992 Non-Employee Directors' Stock Option Plan from 200,000 to 300,000 and the amendment of the amounts and vesting schedule of non-discretionary option grants.</w:t>
      </w:r>
    </w:p>
    <w:p>
      <w:pPr>
        <w:spacing w:after="0" w:line="382"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Votes</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in favor:</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14,991,104</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withheld:</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1,383,147</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Abstentions: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561,166</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Unvoted:</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5,164,772</w:t>
            </w:r>
          </w:p>
        </w:tc>
      </w:tr>
    </w:tbl>
    <w:p>
      <w:pPr>
        <w:spacing w:after="0" w:line="200" w:lineRule="exact"/>
        <w:rPr>
          <w:sz w:val="20"/>
          <w:szCs w:val="20"/>
          <w:color w:val="auto"/>
        </w:rPr>
      </w:pPr>
    </w:p>
    <w:p>
      <w:pPr>
        <w:spacing w:after="0" w:line="204" w:lineRule="exact"/>
        <w:rPr>
          <w:sz w:val="20"/>
          <w:szCs w:val="20"/>
          <w:color w:val="auto"/>
        </w:rPr>
      </w:pPr>
    </w:p>
    <w:p>
      <w:pPr>
        <w:ind w:left="2740" w:hanging="414"/>
        <w:spacing w:after="0"/>
        <w:tabs>
          <w:tab w:leader="none" w:pos="2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Ernst &amp; Young LLP as</w:t>
      </w:r>
    </w:p>
    <w:p>
      <w:pPr>
        <w:spacing w:after="0" w:line="4" w:lineRule="exact"/>
        <w:rPr>
          <w:rFonts w:ascii="Courier New" w:cs="Courier New" w:eastAsia="Courier New" w:hAnsi="Courier New"/>
          <w:sz w:val="18"/>
          <w:szCs w:val="18"/>
          <w:color w:val="auto"/>
        </w:rPr>
      </w:pPr>
    </w:p>
    <w:p>
      <w:pPr>
        <w:ind w:left="244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of the Company for its fiscal year ending December 31, 1996.</w:t>
      </w:r>
    </w:p>
    <w:p>
      <w:pPr>
        <w:spacing w:after="0" w:line="200" w:lineRule="exact"/>
        <w:rPr>
          <w:sz w:val="20"/>
          <w:szCs w:val="20"/>
          <w:color w:val="auto"/>
        </w:rPr>
      </w:pPr>
    </w:p>
    <w:p>
      <w:pPr>
        <w:spacing w:after="0" w:line="205" w:lineRule="exact"/>
        <w:rPr>
          <w:sz w:val="20"/>
          <w:szCs w:val="20"/>
          <w:color w:val="auto"/>
        </w:rPr>
      </w:pPr>
    </w:p>
    <w:tbl>
      <w:tblPr>
        <w:tblLayout w:type="fixed"/>
        <w:tblInd w:w="244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Votes</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in favor: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21,999,576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Votes</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withheld:</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43,117</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Abstentions: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280" w:hanging="745"/>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27 : FINANCIAL DATA SCHEDULE</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1280"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filed no reports on Form 8-K during the quarter ended June 30, 1996.</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ISIS PHARMACEUTICALS,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duly has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ISIS PHARMACEUTICALS, INC.</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29, 1996</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STANLEY T. CROOKE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Stanley T. Crooke, M.D., Ph.D.</w:t>
      </w:r>
    </w:p>
    <w:p>
      <w:pPr>
        <w:ind w:left="32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320"/>
        <w:spacing w:after="0"/>
        <w:rPr>
          <w:sz w:val="20"/>
          <w:szCs w:val="20"/>
          <w:color w:val="auto"/>
        </w:rPr>
      </w:pPr>
      <w:r>
        <w:rPr>
          <w:rFonts w:ascii="Courier New" w:cs="Courier New" w:eastAsia="Courier New" w:hAnsi="Courier New"/>
          <w:sz w:val="18"/>
          <w:szCs w:val="18"/>
          <w:color w:val="auto"/>
        </w:rPr>
        <w:t>Chief Executive Officer</w:t>
      </w:r>
    </w:p>
    <w:p>
      <w:pPr>
        <w:ind w:left="320"/>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2440" w:space="720"/>
            <w:col w:w="320" w:space="0"/>
            <w:col w:w="673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29, 1996</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B. LYNNE PARSHALL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Lynne Parshall</w:t>
      </w:r>
    </w:p>
    <w:p>
      <w:pPr>
        <w:ind w:left="22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220"/>
        <w:spacing w:after="0"/>
        <w:rPr>
          <w:sz w:val="20"/>
          <w:szCs w:val="20"/>
          <w:color w:val="auto"/>
        </w:rPr>
      </w:pPr>
      <w:r>
        <w:rPr>
          <w:rFonts w:ascii="Courier New" w:cs="Courier New" w:eastAsia="Courier New" w:hAnsi="Courier New"/>
          <w:sz w:val="18"/>
          <w:szCs w:val="18"/>
          <w:color w:val="auto"/>
        </w:rPr>
        <w:t>Chief Financial Officer</w:t>
      </w:r>
    </w:p>
    <w:p>
      <w:pPr>
        <w:ind w:left="220"/>
        <w:spacing w:after="0" w:line="237" w:lineRule="auto"/>
        <w:rPr>
          <w:sz w:val="20"/>
          <w:szCs w:val="20"/>
          <w:color w:val="auto"/>
        </w:rPr>
      </w:pPr>
      <w:r>
        <w:rPr>
          <w:rFonts w:ascii="Courier New" w:cs="Courier New" w:eastAsia="Courier New" w:hAnsi="Courier New"/>
          <w:sz w:val="18"/>
          <w:szCs w:val="18"/>
          <w:color w:val="auto"/>
        </w:rPr>
        <w:t>(Principal Financial Officer)</w:t>
      </w:r>
    </w:p>
    <w:p>
      <w:pPr>
        <w:sectPr>
          <w:pgSz w:w="11900" w:h="16838" w:orient="portrait"/>
          <w:cols w:equalWidth="0" w:num="4">
            <w:col w:w="540" w:space="200"/>
            <w:col w:w="1700" w:space="720"/>
            <w:col w:w="320" w:space="100"/>
            <w:col w:w="6639"/>
          </w:cols>
          <w:pgMar w:left="240" w:top="312" w:right="1440" w:bottom="1440" w:gutter="0" w:footer="0" w:header="0"/>
          <w:type w:val="continuous"/>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1600" w:space="720"/>
            <w:col w:w="789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ectPr>
          <w:pgSz w:w="11900" w:h="16838" w:orient="portrait"/>
          <w:cols w:equalWidth="0" w:num="2">
            <w:col w:w="1280" w:space="720"/>
            <w:col w:w="8219"/>
          </w:cols>
          <w:pgMar w:left="240" w:top="312" w:right="1440" w:bottom="1440" w:gutter="0" w:footer="0" w:header="0"/>
          <w:type w:val="continuous"/>
        </w:sectPr>
      </w:pPr>
    </w:p>
    <w:bookmarkStart w:id="15" w:name="page16"/>
    <w:bookmarkEnd w:id="15"/>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schedule contains summary financial information derived from</w:t>
      </w:r>
    </w:p>
    <w:p>
      <w:pPr>
        <w:spacing w:after="0" w:line="4" w:lineRule="exact"/>
        <w:rPr>
          <w:sz w:val="20"/>
          <w:szCs w:val="20"/>
          <w:color w:val="auto"/>
        </w:rPr>
      </w:pPr>
    </w:p>
    <w:p>
      <w:pPr>
        <w:ind w:right="2919"/>
        <w:spacing w:after="0" w:line="237" w:lineRule="auto"/>
        <w:rPr>
          <w:sz w:val="20"/>
          <w:szCs w:val="20"/>
          <w:color w:val="auto"/>
        </w:rPr>
      </w:pPr>
      <w:r>
        <w:rPr>
          <w:rFonts w:ascii="Courier New" w:cs="Courier New" w:eastAsia="Courier New" w:hAnsi="Courier New"/>
          <w:sz w:val="18"/>
          <w:szCs w:val="18"/>
          <w:color w:val="auto"/>
        </w:rPr>
        <w:t>the Company's Condensed Balance Sheet as of June 30, 1996 (Unaudited) and Condensed Statements of Operations for the Six Months Ended June 30, 1996(Unaudited) and is qualified in its entirety by the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6-MOS</w:t>
      </w:r>
    </w:p>
    <w:p>
      <w:pPr>
        <w:ind w:left="2280"/>
        <w:spacing w:after="0" w:line="238" w:lineRule="auto"/>
        <w:rPr>
          <w:sz w:val="20"/>
          <w:szCs w:val="20"/>
          <w:color w:val="auto"/>
        </w:rPr>
      </w:pPr>
      <w:r>
        <w:rPr>
          <w:rFonts w:ascii="Courier New" w:cs="Courier New" w:eastAsia="Courier New" w:hAnsi="Courier New"/>
          <w:sz w:val="18"/>
          <w:szCs w:val="18"/>
          <w:color w:val="auto"/>
        </w:rPr>
        <w:t>DEC-31-1996</w:t>
      </w:r>
    </w:p>
    <w:p>
      <w:pPr>
        <w:ind w:left="2600"/>
        <w:spacing w:after="0"/>
        <w:rPr>
          <w:sz w:val="20"/>
          <w:szCs w:val="20"/>
          <w:color w:val="auto"/>
        </w:rPr>
      </w:pPr>
      <w:r>
        <w:rPr>
          <w:rFonts w:ascii="Courier New" w:cs="Courier New" w:eastAsia="Courier New" w:hAnsi="Courier New"/>
          <w:sz w:val="18"/>
          <w:szCs w:val="18"/>
          <w:color w:val="auto"/>
        </w:rPr>
        <w:t>JAN-01-1996</w:t>
      </w:r>
    </w:p>
    <w:p>
      <w:pPr>
        <w:ind w:left="2820"/>
        <w:spacing w:after="0" w:line="237" w:lineRule="auto"/>
        <w:rPr>
          <w:sz w:val="20"/>
          <w:szCs w:val="20"/>
          <w:color w:val="auto"/>
        </w:rPr>
      </w:pPr>
      <w:r>
        <w:rPr>
          <w:rFonts w:ascii="Courier New" w:cs="Courier New" w:eastAsia="Courier New" w:hAnsi="Courier New"/>
          <w:sz w:val="18"/>
          <w:szCs w:val="18"/>
          <w:color w:val="auto"/>
        </w:rPr>
        <w:t>JUN-30-1996</w:t>
      </w:r>
    </w:p>
    <w:p>
      <w:pPr>
        <w:ind w:left="3540"/>
        <w:spacing w:after="0" w:line="238" w:lineRule="auto"/>
        <w:rPr>
          <w:sz w:val="20"/>
          <w:szCs w:val="20"/>
          <w:color w:val="auto"/>
        </w:rPr>
      </w:pPr>
      <w:r>
        <w:rPr>
          <w:rFonts w:ascii="Courier New" w:cs="Courier New" w:eastAsia="Courier New" w:hAnsi="Courier New"/>
          <w:sz w:val="18"/>
          <w:szCs w:val="18"/>
          <w:color w:val="auto"/>
        </w:rPr>
        <w:t>25,520</w:t>
      </w:r>
    </w:p>
    <w:p>
      <w:pPr>
        <w:ind w:left="2920"/>
        <w:spacing w:after="0"/>
        <w:rPr>
          <w:sz w:val="20"/>
          <w:szCs w:val="20"/>
          <w:color w:val="auto"/>
        </w:rPr>
      </w:pPr>
      <w:r>
        <w:rPr>
          <w:rFonts w:ascii="Courier New" w:cs="Courier New" w:eastAsia="Courier New" w:hAnsi="Courier New"/>
          <w:sz w:val="18"/>
          <w:szCs w:val="18"/>
          <w:color w:val="auto"/>
        </w:rPr>
        <w:t>43,051</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0</w:t>
      </w:r>
    </w:p>
    <w:p>
      <w:pPr>
        <w:ind w:left="2500"/>
        <w:spacing w:after="0"/>
        <w:rPr>
          <w:sz w:val="20"/>
          <w:szCs w:val="20"/>
          <w:color w:val="auto"/>
        </w:rPr>
      </w:pPr>
      <w:r>
        <w:rPr>
          <w:rFonts w:ascii="Courier New" w:cs="Courier New" w:eastAsia="Courier New" w:hAnsi="Courier New"/>
          <w:sz w:val="18"/>
          <w:szCs w:val="18"/>
          <w:color w:val="auto"/>
        </w:rPr>
        <w:t>70,220</w:t>
      </w:r>
    </w:p>
    <w:p>
      <w:pPr>
        <w:ind w:left="3540"/>
        <w:spacing w:after="0" w:line="237" w:lineRule="auto"/>
        <w:rPr>
          <w:sz w:val="20"/>
          <w:szCs w:val="20"/>
          <w:color w:val="auto"/>
        </w:rPr>
      </w:pPr>
      <w:r>
        <w:rPr>
          <w:rFonts w:ascii="Courier New" w:cs="Courier New" w:eastAsia="Courier New" w:hAnsi="Courier New"/>
          <w:sz w:val="18"/>
          <w:szCs w:val="18"/>
          <w:color w:val="auto"/>
        </w:rPr>
        <w:t>15,522</w:t>
      </w:r>
    </w:p>
    <w:p>
      <w:pPr>
        <w:jc w:val="right"/>
        <w:ind w:right="6839"/>
        <w:spacing w:after="0" w:line="238" w:lineRule="auto"/>
        <w:rPr>
          <w:sz w:val="20"/>
          <w:szCs w:val="20"/>
          <w:color w:val="auto"/>
        </w:rPr>
      </w:pPr>
      <w:r>
        <w:rPr>
          <w:rFonts w:ascii="Courier New" w:cs="Courier New" w:eastAsia="Courier New" w:hAnsi="Courier New"/>
          <w:sz w:val="18"/>
          <w:szCs w:val="18"/>
          <w:color w:val="auto"/>
        </w:rPr>
        <w:t>0</w:t>
      </w:r>
    </w:p>
    <w:p>
      <w:pPr>
        <w:jc w:val="right"/>
        <w:ind w:right="6839"/>
        <w:spacing w:after="0"/>
        <w:rPr>
          <w:sz w:val="20"/>
          <w:szCs w:val="20"/>
          <w:color w:val="auto"/>
        </w:rPr>
      </w:pPr>
      <w:r>
        <w:rPr>
          <w:rFonts w:ascii="Courier New" w:cs="Courier New" w:eastAsia="Courier New" w:hAnsi="Courier New"/>
          <w:sz w:val="18"/>
          <w:szCs w:val="18"/>
          <w:color w:val="auto"/>
        </w:rPr>
        <w:t>91,623</w:t>
      </w:r>
    </w:p>
    <w:p>
      <w:pPr>
        <w:ind w:left="1960"/>
        <w:spacing w:after="0" w:line="237" w:lineRule="auto"/>
        <w:rPr>
          <w:sz w:val="20"/>
          <w:szCs w:val="20"/>
          <w:color w:val="auto"/>
        </w:rPr>
      </w:pPr>
      <w:r>
        <w:rPr>
          <w:rFonts w:ascii="Courier New" w:cs="Courier New" w:eastAsia="Courier New" w:hAnsi="Courier New"/>
          <w:sz w:val="18"/>
          <w:szCs w:val="18"/>
          <w:color w:val="auto"/>
        </w:rPr>
        <w:t>20,907</w:t>
      </w:r>
    </w:p>
    <w:p>
      <w:pPr>
        <w:ind w:left="3540"/>
        <w:spacing w:after="0"/>
        <w:rPr>
          <w:sz w:val="20"/>
          <w:szCs w:val="20"/>
          <w:color w:val="auto"/>
        </w:rPr>
      </w:pPr>
      <w:r>
        <w:rPr>
          <w:rFonts w:ascii="Courier New" w:cs="Courier New" w:eastAsia="Courier New" w:hAnsi="Courier New"/>
          <w:sz w:val="18"/>
          <w:szCs w:val="18"/>
          <w:color w:val="auto"/>
        </w:rPr>
        <w:t>4,884</w:t>
      </w:r>
    </w:p>
    <w:p>
      <w:pPr>
        <w:ind w:left="250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26</w:t>
      </w:r>
    </w:p>
    <w:p>
      <w:pPr>
        <w:ind w:left="3120"/>
        <w:spacing w:after="0" w:line="238" w:lineRule="auto"/>
        <w:rPr>
          <w:sz w:val="20"/>
          <w:szCs w:val="20"/>
          <w:color w:val="auto"/>
        </w:rPr>
      </w:pPr>
      <w:r>
        <w:rPr>
          <w:rFonts w:ascii="Courier New" w:cs="Courier New" w:eastAsia="Courier New" w:hAnsi="Courier New"/>
          <w:sz w:val="18"/>
          <w:szCs w:val="18"/>
          <w:color w:val="auto"/>
        </w:rPr>
        <w:t>65,806</w:t>
      </w:r>
    </w:p>
    <w:p>
      <w:pPr>
        <w:ind w:left="1240"/>
        <w:spacing w:after="0"/>
        <w:rPr>
          <w:sz w:val="20"/>
          <w:szCs w:val="20"/>
          <w:color w:val="auto"/>
        </w:rPr>
      </w:pPr>
      <w:r>
        <w:rPr>
          <w:rFonts w:ascii="Courier New" w:cs="Courier New" w:eastAsia="Courier New" w:hAnsi="Courier New"/>
          <w:sz w:val="18"/>
          <w:szCs w:val="18"/>
          <w:color w:val="auto"/>
        </w:rPr>
        <w:t>91,623</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2500"/>
        <w:spacing w:after="0"/>
        <w:rPr>
          <w:sz w:val="20"/>
          <w:szCs w:val="20"/>
          <w:color w:val="auto"/>
        </w:rPr>
      </w:pPr>
      <w:r>
        <w:rPr>
          <w:rFonts w:ascii="Courier New" w:cs="Courier New" w:eastAsia="Courier New" w:hAnsi="Courier New"/>
          <w:sz w:val="18"/>
          <w:szCs w:val="18"/>
          <w:color w:val="auto"/>
        </w:rPr>
        <w:t>12,139</w:t>
      </w:r>
    </w:p>
    <w:p>
      <w:pPr>
        <w:ind w:left="4180"/>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jc w:val="right"/>
        <w:ind w:right="7059"/>
        <w:spacing w:after="0" w:line="237" w:lineRule="auto"/>
        <w:rPr>
          <w:sz w:val="20"/>
          <w:szCs w:val="20"/>
          <w:color w:val="auto"/>
        </w:rPr>
      </w:pPr>
      <w:r>
        <w:rPr>
          <w:rFonts w:ascii="Courier New" w:cs="Courier New" w:eastAsia="Courier New" w:hAnsi="Courier New"/>
          <w:sz w:val="18"/>
          <w:szCs w:val="18"/>
          <w:color w:val="auto"/>
        </w:rPr>
        <w:t>24,027</w:t>
      </w:r>
    </w:p>
    <w:p>
      <w:pPr>
        <w:jc w:val="right"/>
        <w:ind w:right="7059"/>
        <w:spacing w:after="0"/>
        <w:rPr>
          <w:sz w:val="20"/>
          <w:szCs w:val="20"/>
          <w:color w:val="auto"/>
        </w:rPr>
      </w:pPr>
      <w:r>
        <w:rPr>
          <w:rFonts w:ascii="Courier New" w:cs="Courier New" w:eastAsia="Courier New" w:hAnsi="Courier New"/>
          <w:sz w:val="18"/>
          <w:szCs w:val="18"/>
          <w:color w:val="auto"/>
        </w:rPr>
        <w:t>0</w:t>
      </w:r>
    </w:p>
    <w:p>
      <w:pPr>
        <w:ind w:left="2600"/>
        <w:spacing w:after="0" w:line="237" w:lineRule="auto"/>
        <w:rPr>
          <w:sz w:val="20"/>
          <w:szCs w:val="20"/>
          <w:color w:val="auto"/>
        </w:rPr>
      </w:pPr>
      <w:r>
        <w:rPr>
          <w:rFonts w:ascii="Courier New" w:cs="Courier New" w:eastAsia="Courier New" w:hAnsi="Courier New"/>
          <w:sz w:val="18"/>
          <w:szCs w:val="18"/>
          <w:color w:val="auto"/>
        </w:rPr>
        <w:t>486</w:t>
      </w:r>
    </w:p>
    <w:p>
      <w:pPr>
        <w:ind w:left="2500"/>
        <w:spacing w:after="0" w:line="238" w:lineRule="auto"/>
        <w:rPr>
          <w:sz w:val="20"/>
          <w:szCs w:val="20"/>
          <w:color w:val="auto"/>
        </w:rPr>
      </w:pPr>
      <w:r>
        <w:rPr>
          <w:rFonts w:ascii="Courier New" w:cs="Courier New" w:eastAsia="Courier New" w:hAnsi="Courier New"/>
          <w:sz w:val="18"/>
          <w:szCs w:val="18"/>
          <w:color w:val="auto"/>
        </w:rPr>
        <w:t>(12,374)</w:t>
      </w:r>
    </w:p>
    <w:p>
      <w:pPr>
        <w:ind w:left="3440"/>
        <w:spacing w:after="0"/>
        <w:rPr>
          <w:sz w:val="20"/>
          <w:szCs w:val="20"/>
          <w:color w:val="auto"/>
        </w:rPr>
      </w:pPr>
      <w:r>
        <w:rPr>
          <w:rFonts w:ascii="Courier New" w:cs="Courier New" w:eastAsia="Courier New" w:hAnsi="Courier New"/>
          <w:sz w:val="18"/>
          <w:szCs w:val="18"/>
          <w:color w:val="auto"/>
        </w:rPr>
        <w:t>0</w:t>
      </w:r>
    </w:p>
    <w:p>
      <w:pPr>
        <w:ind w:left="2080"/>
        <w:spacing w:after="0" w:line="237" w:lineRule="auto"/>
        <w:rPr>
          <w:sz w:val="20"/>
          <w:szCs w:val="20"/>
          <w:color w:val="auto"/>
        </w:rPr>
      </w:pPr>
      <w:r>
        <w:rPr>
          <w:rFonts w:ascii="Courier New" w:cs="Courier New" w:eastAsia="Courier New" w:hAnsi="Courier New"/>
          <w:sz w:val="18"/>
          <w:szCs w:val="18"/>
          <w:color w:val="auto"/>
        </w:rPr>
        <w:t>(12,374)</w:t>
      </w:r>
    </w:p>
    <w:p>
      <w:pPr>
        <w:ind w:left="3240"/>
        <w:spacing w:after="0"/>
        <w:rPr>
          <w:sz w:val="20"/>
          <w:szCs w:val="20"/>
          <w:color w:val="auto"/>
        </w:rPr>
      </w:pPr>
      <w:r>
        <w:rPr>
          <w:rFonts w:ascii="Courier New" w:cs="Courier New" w:eastAsia="Courier New" w:hAnsi="Courier New"/>
          <w:sz w:val="18"/>
          <w:szCs w:val="18"/>
          <w:color w:val="auto"/>
        </w:rPr>
        <w:t>0</w:t>
      </w:r>
    </w:p>
    <w:p>
      <w:pPr>
        <w:ind w:left="312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0</w:t>
      </w:r>
    </w:p>
    <w:p>
      <w:pPr>
        <w:ind w:left="2820"/>
        <w:spacing w:after="0" w:line="237" w:lineRule="auto"/>
        <w:rPr>
          <w:sz w:val="20"/>
          <w:szCs w:val="20"/>
          <w:color w:val="auto"/>
        </w:rPr>
      </w:pPr>
      <w:r>
        <w:rPr>
          <w:rFonts w:ascii="Courier New" w:cs="Courier New" w:eastAsia="Courier New" w:hAnsi="Courier New"/>
          <w:sz w:val="18"/>
          <w:szCs w:val="18"/>
          <w:color w:val="auto"/>
        </w:rPr>
        <w:t>(12,374)</w:t>
      </w:r>
    </w:p>
    <w:p>
      <w:pPr>
        <w:ind w:left="3020"/>
        <w:spacing w:after="0" w:line="238" w:lineRule="auto"/>
        <w:rPr>
          <w:sz w:val="20"/>
          <w:szCs w:val="20"/>
          <w:color w:val="auto"/>
        </w:rPr>
      </w:pPr>
      <w:r>
        <w:rPr>
          <w:rFonts w:ascii="Courier New" w:cs="Courier New" w:eastAsia="Courier New" w:hAnsi="Courier New"/>
          <w:sz w:val="18"/>
          <w:szCs w:val="18"/>
          <w:color w:val="auto"/>
        </w:rPr>
        <w:t>(.49)</w:t>
      </w:r>
    </w:p>
    <w:p>
      <w:pPr>
        <w:ind w:left="3020"/>
        <w:spacing w:after="0"/>
        <w:rPr>
          <w:sz w:val="20"/>
          <w:szCs w:val="20"/>
          <w:color w:val="auto"/>
        </w:rPr>
      </w:pPr>
      <w:r>
        <w:rPr>
          <w:rFonts w:ascii="Courier New" w:cs="Courier New" w:eastAsia="Courier New" w:hAnsi="Courier New"/>
          <w:sz w:val="18"/>
          <w:szCs w:val="18"/>
          <w:color w:val="auto"/>
        </w:rPr>
        <w:t>(.49)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lvl w:ilvl="1">
      <w:lvlJc w:val="left"/>
      <w:lvlText w:val="(%2)"/>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2019-12-19T22:42:50Z</dcterms:created>
  <dcterms:modified xsi:type="dcterms:W3CDTF">2019-12-19T22:42:50Z</dcterms:modified>
</cp:coreProperties>
</file>