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6, 2021</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IONIS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240"/>
          </w:cols>
          <w:pgMar w:left="320" w:top="535" w:right="339" w:bottom="1440" w:gutter="0" w:footer="0" w:header="0"/>
        </w:sectPr>
      </w:pPr>
    </w:p>
    <w:p>
      <w:pPr>
        <w:spacing w:after="0" w:line="23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000-19125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33-0336973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80"/>
          </w:cols>
          <w:pgMar w:left="320" w:top="535" w:right="3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2855 Gazelle Court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 92010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(760) 931-9200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32"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7"/>
        </w:trPr>
        <w:tc>
          <w:tcPr>
            <w:tcW w:w="404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Title of each class</w:t>
            </w:r>
          </w:p>
        </w:tc>
        <w:tc>
          <w:tcPr>
            <w:tcW w:w="24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Trading symbol</w:t>
            </w:r>
          </w:p>
        </w:tc>
        <w:tc>
          <w:tcPr>
            <w:tcW w:w="47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54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“IONS”</w:t>
            </w:r>
          </w:p>
        </w:tc>
        <w:tc>
          <w:tcPr>
            <w:tcW w:w="500" w:type="dxa"/>
            <w:vAlign w:val="bottom"/>
          </w:tcPr>
          <w:p>
            <w:pPr>
              <w:spacing w:after="0"/>
              <w:rPr>
                <w:sz w:val="20"/>
                <w:szCs w:val="20"/>
                <w:color w:val="auto"/>
              </w:rPr>
            </w:pPr>
          </w:p>
        </w:tc>
        <w:tc>
          <w:tcPr>
            <w:tcW w:w="4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1" w:lineRule="exact"/>
        <w:rPr>
          <w:sz w:val="24"/>
          <w:szCs w:val="24"/>
          <w:color w:val="auto"/>
        </w:rPr>
      </w:pPr>
    </w:p>
    <w:p>
      <w:pPr>
        <w:ind w:left="898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Ionis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through its wholly-owned subsidiary, Akcea Therapeutics, Inc. (“</w:t>
      </w:r>
      <w:r>
        <w:rPr>
          <w:rFonts w:ascii="Arial" w:cs="Arial" w:eastAsia="Arial" w:hAnsi="Arial"/>
          <w:sz w:val="18"/>
          <w:szCs w:val="18"/>
          <w:b w:val="1"/>
          <w:bCs w:val="1"/>
          <w:i w:val="1"/>
          <w:iCs w:val="1"/>
          <w:color w:val="auto"/>
        </w:rPr>
        <w:t>Akcea</w:t>
      </w:r>
      <w:r>
        <w:rPr>
          <w:rFonts w:ascii="Arial" w:cs="Arial" w:eastAsia="Arial" w:hAnsi="Arial"/>
          <w:sz w:val="18"/>
          <w:szCs w:val="18"/>
          <w:color w:val="auto"/>
        </w:rPr>
        <w:t>”), has entered into a distribution agreement with Swedish Orphan Biovitrum AB (“</w:t>
      </w:r>
      <w:r>
        <w:rPr>
          <w:rFonts w:ascii="Arial" w:cs="Arial" w:eastAsia="Arial" w:hAnsi="Arial"/>
          <w:sz w:val="18"/>
          <w:szCs w:val="18"/>
          <w:b w:val="1"/>
          <w:bCs w:val="1"/>
          <w:i w:val="1"/>
          <w:iCs w:val="1"/>
          <w:color w:val="auto"/>
        </w:rPr>
        <w:t>Sobi</w:t>
      </w:r>
      <w:r>
        <w:rPr>
          <w:rFonts w:ascii="Arial" w:cs="Arial" w:eastAsia="Arial" w:hAnsi="Arial"/>
          <w:sz w:val="18"/>
          <w:szCs w:val="18"/>
          <w:color w:val="auto"/>
        </w:rPr>
        <w:t>”) for TEGSEDI in North America (the “</w:t>
      </w:r>
      <w:r>
        <w:rPr>
          <w:rFonts w:ascii="Arial" w:cs="Arial" w:eastAsia="Arial" w:hAnsi="Arial"/>
          <w:sz w:val="18"/>
          <w:szCs w:val="18"/>
          <w:b w:val="1"/>
          <w:bCs w:val="1"/>
          <w:i w:val="1"/>
          <w:iCs w:val="1"/>
          <w:color w:val="auto"/>
        </w:rPr>
        <w:t>Expanded Agreement</w:t>
      </w:r>
      <w:r>
        <w:rPr>
          <w:rFonts w:ascii="Arial" w:cs="Arial" w:eastAsia="Arial" w:hAnsi="Arial"/>
          <w:sz w:val="18"/>
          <w:szCs w:val="18"/>
          <w:color w:val="auto"/>
        </w:rPr>
        <w:t>”). Under the terms of the Expanded Agreement, Akcea retains the marketing authorizations for TEGSEDI in the United States and Canada. The Company will continue to supply commercial product to Sobi and manage regulatory and manufacturing processes, as well as relationships with key opinion leaders, and continue to lead the TEGSEDI global commercial strategy.</w:t>
      </w:r>
    </w:p>
    <w:p>
      <w:pPr>
        <w:spacing w:after="0" w:line="21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connection with the entry into the Expanded Agreement with Sobi, on April 5 2021, the Company enacted a plan to reorganize its Akcea workforce in North America to better align with the immediate needs of its business (the “</w:t>
      </w:r>
      <w:r>
        <w:rPr>
          <w:rFonts w:ascii="Arial" w:cs="Arial" w:eastAsia="Arial" w:hAnsi="Arial"/>
          <w:sz w:val="18"/>
          <w:szCs w:val="18"/>
          <w:b w:val="1"/>
          <w:bCs w:val="1"/>
          <w:i w:val="1"/>
          <w:iCs w:val="1"/>
          <w:color w:val="auto"/>
        </w:rPr>
        <w:t>Reorganization Plan</w:t>
      </w:r>
      <w:r>
        <w:rPr>
          <w:rFonts w:ascii="Arial" w:cs="Arial" w:eastAsia="Arial" w:hAnsi="Arial"/>
          <w:sz w:val="18"/>
          <w:szCs w:val="18"/>
          <w:color w:val="auto"/>
        </w:rPr>
        <w:t>”) and to focus on high priority programs within the Company’s wholly-owned pipeline, including the Company’s next generation LICA program for IONIS-TTR-L</w:t>
      </w:r>
      <w:r>
        <w:rPr>
          <w:rFonts w:ascii="Arial" w:cs="Arial" w:eastAsia="Arial" w:hAnsi="Arial"/>
          <w:sz w:val="29"/>
          <w:szCs w:val="29"/>
          <w:color w:val="auto"/>
          <w:vertAlign w:val="subscript"/>
        </w:rPr>
        <w:t>Rx</w:t>
      </w:r>
      <w:r>
        <w:rPr>
          <w:rFonts w:ascii="Arial" w:cs="Arial" w:eastAsia="Arial" w:hAnsi="Arial"/>
          <w:sz w:val="18"/>
          <w:szCs w:val="18"/>
          <w:color w:val="auto"/>
        </w:rPr>
        <w:t>.</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Reorganization Plan, the Company intends to reduce its Akcea workforce by nearly 70%. The Reorganization Plan was approved by the Company’s Board of Directors on March 26, 2021, subject to the execution of the Expanded Agreement. The affected employees were informed on April 5, 2021. The Reorganization Plan will impact U.S. and Canadian Akcea team members primarily from the TEGSEDI field team and functions focused principally on TEGSEDI. Affected employees will be eligible to receive severance payments and other customary benefits. Under the Reorganization Plan, the Company expects to incur restructuring charges in the range of $11 to $14 million principally in the quarter ending June 30, 2021.</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that involve risks and uncertainties. All forward-looking statements included in this report, including estimates of the costs of the Reorganization Plan and the timing of the impact of such costs are based upon information available to the Company as of the date of this report, which may change, and the Company assumes no obligation to update any such forward-looking statements. Although the Company’s forward-looking statements reflect the good faith judgment of its management, these statements are based only on facts and factors currently known by the Company. These statements are not guarantees of future performance and actual results could differ materially from the Company’s current expectations. As a result, you are cautioned not to rely on these forward-looking statements. Factors that could cause or contribute to such differences include the risks and uncertainties discussed in the “Risk Factors” section of the Company’s Annual Report on Form 10-K filed with the Securities and Exchange Commission on February 24, 2021 and other subsequent filings the Company makes with the Securities and Exchange Commission from time to time, as well as the possibility that the estimates and costs of the Reorganization Plan may exceed expectations and that the Reorganization Plan will not be successful in reducing operating costs or aligning the Company’s workforce with the needs of its business. The Company assumes no obligation and does not intend to update the forward-looking statements provided,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ONIS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HARMACEUTICALS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6, 2021</w:t>
      </w:r>
      <w:r>
        <w:rPr>
          <w:sz w:val="20"/>
          <w:szCs w:val="20"/>
          <w:color w:val="auto"/>
        </w:rPr>
        <w:tab/>
      </w:r>
      <w:r>
        <w:rPr>
          <w:rFonts w:ascii="Arial" w:cs="Arial" w:eastAsia="Arial" w:hAnsi="Arial"/>
          <w:sz w:val="17"/>
          <w:szCs w:val="17"/>
          <w:color w:val="auto"/>
        </w:rPr>
        <w:t>By: /s/ Patrick R.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ATRICK</w:t>
      </w:r>
      <w:r>
        <w:rPr>
          <w:rFonts w:ascii="Arial" w:cs="Arial" w:eastAsia="Arial" w:hAnsi="Arial"/>
          <w:sz w:val="18"/>
          <w:szCs w:val="18"/>
          <w:b w:val="1"/>
          <w:bCs w:val="1"/>
          <w:color w:val="auto"/>
        </w:rPr>
        <w:t xml:space="preserve"> R. O’N</w:t>
      </w:r>
      <w:r>
        <w:rPr>
          <w:rFonts w:ascii="Arial" w:cs="Arial" w:eastAsia="Arial" w:hAnsi="Arial"/>
          <w:sz w:val="12"/>
          <w:szCs w:val="12"/>
          <w:b w:val="1"/>
          <w:bCs w:val="1"/>
          <w:color w:val="auto"/>
        </w:rPr>
        <w:t>EIL</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Legal, General Counsel and</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2021-04-06T06:02:31Z</dcterms:created>
  <dcterms:modified xsi:type="dcterms:W3CDTF">2021-04-06T06:02:31Z</dcterms:modified>
</cp:coreProperties>
</file>