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4660" w:right="3699" w:hanging="4582"/>
        <w:spacing w:after="0" w:line="265" w:lineRule="auto"/>
        <w:rPr>
          <w:sz w:val="20"/>
          <w:szCs w:val="20"/>
          <w:color w:val="auto"/>
        </w:rPr>
      </w:pPr>
      <w:r>
        <w:rPr>
          <w:rFonts w:ascii="Courier New" w:cs="Courier New" w:eastAsia="Courier New" w:hAnsi="Courier New"/>
          <w:sz w:val="14"/>
          <w:szCs w:val="14"/>
          <w:color w:val="auto"/>
        </w:rPr>
        <w:t>As filed with the Securities and Exchange Commission on June 12, 1996 Registration No. 333-</w:t>
      </w:r>
    </w:p>
    <w:p>
      <w:pPr>
        <w:spacing w:after="0" w:line="15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S-8</w:t>
      </w:r>
    </w:p>
    <w:p>
      <w:pPr>
        <w:ind w:left="2540"/>
        <w:spacing w:after="0"/>
        <w:rPr>
          <w:sz w:val="20"/>
          <w:szCs w:val="20"/>
          <w:color w:val="auto"/>
        </w:rPr>
      </w:pPr>
      <w:r>
        <w:rPr>
          <w:rFonts w:ascii="Courier New" w:cs="Courier New" w:eastAsia="Courier New" w:hAnsi="Courier New"/>
          <w:sz w:val="15"/>
          <w:szCs w:val="15"/>
          <w:color w:val="auto"/>
        </w:rPr>
        <w:t>REGISTRATION STATEMENT</w:t>
      </w:r>
    </w:p>
    <w:p>
      <w:pPr>
        <w:ind w:left="3340"/>
        <w:spacing w:after="0"/>
        <w:rPr>
          <w:sz w:val="20"/>
          <w:szCs w:val="20"/>
          <w:color w:val="auto"/>
        </w:rPr>
      </w:pPr>
      <w:r>
        <w:rPr>
          <w:rFonts w:ascii="Courier New" w:cs="Courier New" w:eastAsia="Courier New" w:hAnsi="Courier New"/>
          <w:sz w:val="15"/>
          <w:szCs w:val="15"/>
          <w:color w:val="auto"/>
        </w:rPr>
        <w:t>UNDER</w:t>
      </w:r>
    </w:p>
    <w:p>
      <w:pPr>
        <w:ind w:left="2380"/>
        <w:spacing w:after="0" w:line="238" w:lineRule="auto"/>
        <w:rPr>
          <w:sz w:val="20"/>
          <w:szCs w:val="20"/>
          <w:color w:val="auto"/>
        </w:rPr>
      </w:pPr>
      <w:r>
        <w:rPr>
          <w:rFonts w:ascii="Courier New" w:cs="Courier New" w:eastAsia="Courier New" w:hAnsi="Courier New"/>
          <w:sz w:val="15"/>
          <w:szCs w:val="15"/>
          <w:color w:val="auto"/>
        </w:rPr>
        <w:t>THE SECURITIES ACT OF 1933</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ISIS PHARMACEUTICALS, INC.</w:t>
      </w:r>
    </w:p>
    <w:p>
      <w:pPr>
        <w:ind w:left="2380"/>
        <w:spacing w:after="0"/>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8"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26" w:right="1440" w:bottom="1440" w:gutter="0" w:footer="0" w:header="0"/>
        </w:sectPr>
      </w:pPr>
    </w:p>
    <w:p>
      <w:pPr>
        <w:spacing w:after="0" w:line="16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(State or other jurisdiction of</w:t>
      </w:r>
    </w:p>
    <w:p>
      <w:pPr>
        <w:ind w:left="1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33-0336973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38" w:lineRule="exact"/>
        <w:rPr>
          <w:sz w:val="24"/>
          <w:szCs w:val="24"/>
          <w:color w:val="auto"/>
        </w:rPr>
      </w:pPr>
    </w:p>
    <w:p>
      <w:pPr>
        <w:sectPr>
          <w:pgSz w:w="11900" w:h="16838" w:orient="portrait"/>
          <w:cols w:equalWidth="0" w:num="2">
            <w:col w:w="3260" w:space="520"/>
            <w:col w:w="6439"/>
          </w:cols>
          <w:pgMar w:left="240" w:top="226"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2292 FARADAY AVENUE</w:t>
      </w:r>
    </w:p>
    <w:p>
      <w:pPr>
        <w:ind w:left="2380"/>
        <w:spacing w:after="0"/>
        <w:rPr>
          <w:sz w:val="20"/>
          <w:szCs w:val="20"/>
          <w:color w:val="auto"/>
        </w:rPr>
      </w:pPr>
      <w:r>
        <w:rPr>
          <w:rFonts w:ascii="Courier New" w:cs="Courier New" w:eastAsia="Courier New" w:hAnsi="Courier New"/>
          <w:sz w:val="15"/>
          <w:szCs w:val="15"/>
          <w:color w:val="auto"/>
        </w:rPr>
        <w:t>CARLSBAD, CALIFORNIA 92008</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jc w:val="center"/>
        <w:ind w:right="319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1989 STOCK OPTION PLAN</w:t>
      </w:r>
    </w:p>
    <w:p>
      <w:pPr>
        <w:jc w:val="center"/>
        <w:ind w:right="3199"/>
        <w:spacing w:after="0"/>
        <w:rPr>
          <w:sz w:val="20"/>
          <w:szCs w:val="20"/>
          <w:color w:val="auto"/>
        </w:rPr>
      </w:pPr>
      <w:r>
        <w:rPr>
          <w:rFonts w:ascii="Courier New" w:cs="Courier New" w:eastAsia="Courier New" w:hAnsi="Courier New"/>
          <w:sz w:val="15"/>
          <w:szCs w:val="15"/>
          <w:color w:val="auto"/>
        </w:rPr>
        <w:t>1992 NON-EMPLOYEE DIRECTORS' STOCK OPTION PLAN</w:t>
      </w:r>
    </w:p>
    <w:p>
      <w:pPr>
        <w:spacing w:after="0" w:line="16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jc w:val="center"/>
        <w:ind w:right="3099"/>
        <w:spacing w:after="0"/>
        <w:rPr>
          <w:sz w:val="20"/>
          <w:szCs w:val="20"/>
          <w:color w:val="auto"/>
        </w:rPr>
      </w:pPr>
      <w:r>
        <w:rPr>
          <w:rFonts w:ascii="Courier New" w:cs="Courier New" w:eastAsia="Courier New" w:hAnsi="Courier New"/>
          <w:sz w:val="15"/>
          <w:szCs w:val="15"/>
          <w:color w:val="auto"/>
        </w:rPr>
        <w:t>(Full title of the plans)</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B. LYNNE PARSHALL, ESQ.</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EXECUTIVE VICE PRESIDENT, CHIEF FINANCIAL OFFICER AND SECRETARY</w:t>
      </w:r>
    </w:p>
    <w:p>
      <w:pPr>
        <w:spacing w:after="0" w:line="5"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ISIS PHARMACEUTICALS, INC.</w:t>
      </w:r>
    </w:p>
    <w:p>
      <w:pPr>
        <w:ind w:left="2720"/>
        <w:spacing w:after="0"/>
        <w:rPr>
          <w:sz w:val="20"/>
          <w:szCs w:val="20"/>
          <w:color w:val="auto"/>
        </w:rPr>
      </w:pPr>
      <w:r>
        <w:rPr>
          <w:rFonts w:ascii="Courier New" w:cs="Courier New" w:eastAsia="Courier New" w:hAnsi="Courier New"/>
          <w:sz w:val="15"/>
          <w:szCs w:val="15"/>
          <w:color w:val="auto"/>
        </w:rPr>
        <w:t>2292 FARADAY AVENUE</w:t>
      </w:r>
    </w:p>
    <w:p>
      <w:pPr>
        <w:ind w:left="2380"/>
        <w:spacing w:after="0"/>
        <w:rPr>
          <w:sz w:val="20"/>
          <w:szCs w:val="20"/>
          <w:color w:val="auto"/>
        </w:rPr>
      </w:pPr>
      <w:r>
        <w:rPr>
          <w:rFonts w:ascii="Courier New" w:cs="Courier New" w:eastAsia="Courier New" w:hAnsi="Courier New"/>
          <w:sz w:val="15"/>
          <w:szCs w:val="15"/>
          <w:color w:val="auto"/>
        </w:rPr>
        <w:t>CARLSBAD, CALIFORNIA 92008</w:t>
      </w:r>
    </w:p>
    <w:p>
      <w:pPr>
        <w:ind w:left="2900"/>
        <w:spacing w:after="0" w:line="238" w:lineRule="auto"/>
        <w:rPr>
          <w:sz w:val="20"/>
          <w:szCs w:val="20"/>
          <w:color w:val="auto"/>
        </w:rPr>
      </w:pPr>
      <w:r>
        <w:rPr>
          <w:rFonts w:ascii="Courier New" w:cs="Courier New" w:eastAsia="Courier New" w:hAnsi="Courier New"/>
          <w:sz w:val="15"/>
          <w:szCs w:val="15"/>
          <w:color w:val="auto"/>
        </w:rPr>
        <w:t>(619) 931-9200</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w:t>
      </w:r>
    </w:p>
    <w:p>
      <w:pPr>
        <w:ind w:left="1040"/>
        <w:spacing w:after="0"/>
        <w:rPr>
          <w:sz w:val="20"/>
          <w:szCs w:val="20"/>
          <w:color w:val="auto"/>
        </w:rPr>
      </w:pPr>
      <w:r>
        <w:rPr>
          <w:rFonts w:ascii="Courier New" w:cs="Courier New" w:eastAsia="Courier New" w:hAnsi="Courier New"/>
          <w:sz w:val="15"/>
          <w:szCs w:val="15"/>
          <w:color w:val="auto"/>
        </w:rPr>
        <w:t>(Name, address, including zip code, and telephone number,</w:t>
      </w:r>
    </w:p>
    <w:p>
      <w:pPr>
        <w:ind w:left="166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68"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D. BRADLEY PECK, ESQ.</w:t>
      </w:r>
    </w:p>
    <w:p>
      <w:pPr>
        <w:ind w:left="1840"/>
        <w:spacing w:after="0"/>
        <w:rPr>
          <w:sz w:val="20"/>
          <w:szCs w:val="20"/>
          <w:color w:val="auto"/>
        </w:rPr>
      </w:pPr>
      <w:r>
        <w:rPr>
          <w:rFonts w:ascii="Courier New" w:cs="Courier New" w:eastAsia="Courier New" w:hAnsi="Courier New"/>
          <w:sz w:val="15"/>
          <w:szCs w:val="15"/>
          <w:color w:val="auto"/>
        </w:rPr>
        <w:t>COOLEY GODWARD CASTRO HUDDLESON &amp; TATUM</w:t>
      </w:r>
    </w:p>
    <w:p>
      <w:pPr>
        <w:ind w:left="2640"/>
        <w:spacing w:after="0"/>
        <w:rPr>
          <w:sz w:val="20"/>
          <w:szCs w:val="20"/>
          <w:color w:val="auto"/>
        </w:rPr>
      </w:pPr>
      <w:r>
        <w:rPr>
          <w:rFonts w:ascii="Courier New" w:cs="Courier New" w:eastAsia="Courier New" w:hAnsi="Courier New"/>
          <w:sz w:val="15"/>
          <w:szCs w:val="15"/>
          <w:color w:val="auto"/>
        </w:rPr>
        <w:t>4365 EXECUTIVE DRIVE</w:t>
      </w:r>
    </w:p>
    <w:p>
      <w:pPr>
        <w:ind w:left="2380"/>
        <w:spacing w:after="0" w:line="238" w:lineRule="auto"/>
        <w:rPr>
          <w:sz w:val="20"/>
          <w:szCs w:val="20"/>
          <w:color w:val="auto"/>
        </w:rPr>
      </w:pPr>
      <w:r>
        <w:rPr>
          <w:rFonts w:ascii="Courier New" w:cs="Courier New" w:eastAsia="Courier New" w:hAnsi="Courier New"/>
          <w:sz w:val="15"/>
          <w:szCs w:val="15"/>
          <w:color w:val="auto"/>
        </w:rPr>
        <w:t>SAN DIEGO, CALIFORNIA 92121</w:t>
      </w:r>
    </w:p>
    <w:p>
      <w:pPr>
        <w:ind w:left="3420" w:hanging="521"/>
        <w:spacing w:after="0"/>
        <w:tabs>
          <w:tab w:leader="none" w:pos="34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550-6000</w:t>
      </w:r>
    </w:p>
    <w:p>
      <w:pPr>
        <w:spacing w:after="0" w:line="168" w:lineRule="exact"/>
        <w:rPr>
          <w:rFonts w:ascii="Courier New" w:cs="Courier New" w:eastAsia="Courier New" w:hAnsi="Courier New"/>
          <w:sz w:val="15"/>
          <w:szCs w:val="15"/>
          <w:color w:val="auto"/>
        </w:rPr>
      </w:pPr>
    </w:p>
    <w:p>
      <w:pPr>
        <w:ind w:left="2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26" w:right="1440" w:bottom="1440" w:gutter="0" w:footer="0" w:header="0"/>
          <w:type w:val="continuous"/>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ind w:left="22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0"/>
          <w:szCs w:val="20"/>
          <w:color w:val="auto"/>
        </w:rPr>
      </w:pP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770"/>
        <w:spacing w:after="0"/>
        <w:tabs>
          <w:tab w:leader="none" w:pos="7029"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ind w:left="90"/>
        <w:spacing w:after="0"/>
        <w:tabs>
          <w:tab w:leader="none" w:pos="2709" w:val="left"/>
          <w:tab w:leader="none" w:pos="4649" w:val="left"/>
          <w:tab w:leader="none" w:pos="6949" w:val="left"/>
          <w:tab w:leader="none" w:pos="9589" w:val="left"/>
        </w:tabs>
        <w:rPr>
          <w:sz w:val="20"/>
          <w:szCs w:val="20"/>
          <w:color w:val="auto"/>
        </w:rPr>
      </w:pPr>
      <w:r>
        <w:rPr>
          <w:rFonts w:ascii="Courier New" w:cs="Courier New" w:eastAsia="Courier New" w:hAnsi="Courier New"/>
          <w:sz w:val="15"/>
          <w:szCs w:val="15"/>
          <w:color w:val="auto"/>
        </w:rPr>
        <w:t>TITLE OF SECURITIES TO</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 PER</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ind w:left="530"/>
        <w:spacing w:after="0"/>
        <w:tabs>
          <w:tab w:leader="none" w:pos="2809" w:val="left"/>
          <w:tab w:leader="none" w:pos="5009" w:val="left"/>
          <w:tab w:leader="none" w:pos="7389" w:val="left"/>
          <w:tab w:leader="none" w:pos="9329" w:val="left"/>
        </w:tabs>
        <w:rPr>
          <w:sz w:val="20"/>
          <w:szCs w:val="20"/>
          <w:color w:val="auto"/>
        </w:rPr>
      </w:pPr>
      <w:r>
        <w:rPr>
          <w:rFonts w:ascii="Courier New" w:cs="Courier New" w:eastAsia="Courier New" w:hAnsi="Courier New"/>
          <w:sz w:val="15"/>
          <w:szCs w:val="15"/>
          <w:color w:val="auto"/>
        </w:rPr>
        <w:t>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SHARE (1)</w:t>
      </w:r>
      <w:r>
        <w:rPr>
          <w:sz w:val="20"/>
          <w:szCs w:val="20"/>
          <w:color w:val="auto"/>
        </w:rPr>
        <w:tab/>
      </w:r>
      <w:r>
        <w:rPr>
          <w:rFonts w:ascii="Courier New" w:cs="Courier New" w:eastAsia="Courier New" w:hAnsi="Courier New"/>
          <w:sz w:val="15"/>
          <w:szCs w:val="15"/>
          <w:color w:val="auto"/>
        </w:rPr>
        <w:t>PRICE (1)</w:t>
      </w:r>
      <w:r>
        <w:rPr>
          <w:sz w:val="20"/>
          <w:szCs w:val="20"/>
          <w:color w:val="auto"/>
        </w:rPr>
        <w:tab/>
      </w:r>
      <w:r>
        <w:rPr>
          <w:rFonts w:ascii="Courier New" w:cs="Courier New" w:eastAsia="Courier New" w:hAnsi="Courier New"/>
          <w:sz w:val="14"/>
          <w:szCs w:val="14"/>
          <w:color w:val="auto"/>
        </w:rPr>
        <w:t>REGISTRATION FEE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Options and Common</w:t>
            </w:r>
          </w:p>
        </w:tc>
        <w:tc>
          <w:tcPr>
            <w:tcW w:w="1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(par value $.001)</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2,300,000</w:t>
            </w:r>
          </w:p>
        </w:tc>
        <w:tc>
          <w:tcPr>
            <w:tcW w:w="25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$11.375 - $19.75</w:t>
            </w:r>
          </w:p>
        </w:tc>
        <w:tc>
          <w:tcPr>
            <w:tcW w:w="2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$40,542,838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$13,980</w:t>
            </w:r>
          </w:p>
        </w:tc>
      </w:tr>
    </w:tbl>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4420" w:hanging="10"/>
        <w:spacing w:after="0" w:line="238" w:lineRule="auto"/>
        <w:tabs>
          <w:tab w:leader="none" w:pos="3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amount of the registration fee pursuant to Rule 457(c) and (h)(1). The price per share and the aggregate offering price are calculated on the basis of (a) the weighted average exercise price of $13.25 for 656,141 shares subject to outstanding options granted under the Registrant's 1989 Stock Option Plan (the "1989 Plan") and (b) $19.375, the average of the high and low sales prices of Registrant's Common Stock on June 7, 1996 as reported on the Nasdaq National Market for shares issuable under the 1989 Plan and the 1992 Non-Employee Directors' Stock Option Plan.</w:t>
      </w:r>
    </w:p>
    <w:p>
      <w:pPr>
        <w:sectPr>
          <w:pgSz w:w="11900" w:h="16838" w:orient="portrait"/>
          <w:cols w:equalWidth="0" w:num="1">
            <w:col w:w="11290"/>
          </w:cols>
          <w:pgMar w:left="230" w:top="283" w:right="379" w:bottom="1440" w:gutter="0" w:footer="0" w:header="0"/>
        </w:sectPr>
      </w:pPr>
    </w:p>
    <w:bookmarkStart w:id="2" w:name="page3"/>
    <w:bookmarkEnd w:id="2"/>
    <w:p>
      <w:pPr>
        <w:ind w:left="270"/>
        <w:spacing w:after="0"/>
        <w:rPr>
          <w:sz w:val="20"/>
          <w:szCs w:val="20"/>
          <w:color w:val="auto"/>
        </w:rPr>
      </w:pPr>
      <w:r>
        <w:rPr>
          <w:rFonts w:ascii="Courier New" w:cs="Courier New" w:eastAsia="Courier New" w:hAnsi="Courier New"/>
          <w:sz w:val="15"/>
          <w:szCs w:val="15"/>
          <w:color w:val="auto"/>
        </w:rPr>
        <w:t>3</w:t>
      </w:r>
    </w:p>
    <w:p>
      <w:pPr>
        <w:jc w:val="center"/>
        <w:ind w:right="3090"/>
        <w:spacing w:after="0"/>
        <w:rPr>
          <w:sz w:val="20"/>
          <w:szCs w:val="20"/>
          <w:color w:val="auto"/>
        </w:rPr>
      </w:pPr>
      <w:r>
        <w:rPr>
          <w:rFonts w:ascii="Courier New" w:cs="Courier New" w:eastAsia="Courier New" w:hAnsi="Courier New"/>
          <w:sz w:val="15"/>
          <w:szCs w:val="15"/>
          <w:color w:val="auto"/>
        </w:rPr>
        <w:t>INCORPORATION BY REFERENCE OF CONTENTS OF</w:t>
      </w:r>
    </w:p>
    <w:p>
      <w:pPr>
        <w:spacing w:after="0" w:line="5" w:lineRule="exact"/>
        <w:rPr>
          <w:sz w:val="20"/>
          <w:szCs w:val="20"/>
          <w:color w:val="auto"/>
        </w:rPr>
      </w:pPr>
    </w:p>
    <w:p>
      <w:pPr>
        <w:ind w:left="1050" w:right="3979" w:hanging="264"/>
        <w:spacing w:after="0" w:line="265" w:lineRule="auto"/>
        <w:rPr>
          <w:sz w:val="20"/>
          <w:szCs w:val="20"/>
          <w:color w:val="auto"/>
        </w:rPr>
      </w:pPr>
      <w:r>
        <w:rPr>
          <w:rFonts w:ascii="Courier New" w:cs="Courier New" w:eastAsia="Courier New" w:hAnsi="Courier New"/>
          <w:sz w:val="14"/>
          <w:szCs w:val="14"/>
          <w:color w:val="auto"/>
        </w:rPr>
        <w:t>REGISTRATION STATEMENT ON FORM S-8 NO. 33-42356, NO. 33-51236, NO. 33-54840, NO. 33-58450, NO. 33-75150 AND NO. 33-90780</w:t>
      </w:r>
    </w:p>
    <w:p>
      <w:pPr>
        <w:spacing w:after="0" w:line="158"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The contents of Registration Statements on Form S-8 Nos. 33-42356, 33-51236, 33-54840, 33-58450, 33-75150 and 33-90780 filed with the Securities and Exchange Commission on August 23, 1991, August 25, 1992, November 20, 1992, February 16, 1993, February 4, 1994 and March 30, 1995 are incorporated by reference herein.</w:t>
      </w:r>
    </w:p>
    <w:p>
      <w:pPr>
        <w:spacing w:after="0" w:line="173"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EXHIBIT</w:t>
      </w:r>
    </w:p>
    <w:p>
      <w:pPr>
        <w:ind w:left="10"/>
        <w:spacing w:after="0"/>
        <w:rPr>
          <w:sz w:val="20"/>
          <w:szCs w:val="20"/>
          <w:color w:val="auto"/>
        </w:rPr>
      </w:pPr>
      <w:r>
        <w:rPr>
          <w:rFonts w:ascii="Courier New" w:cs="Courier New" w:eastAsia="Courier New" w:hAnsi="Courier New"/>
          <w:sz w:val="15"/>
          <w:szCs w:val="15"/>
          <w:color w:val="auto"/>
        </w:rPr>
        <w:t>NUMBER</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90"/>
        <w:spacing w:after="0"/>
        <w:tabs>
          <w:tab w:leader="none" w:pos="769"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Cooley Godward Castro Huddleson &amp; Tatum</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w:t>
      </w:r>
    </w:p>
    <w:p>
      <w:pPr>
        <w:spacing w:after="0" w:line="175" w:lineRule="exact"/>
        <w:rPr>
          <w:sz w:val="20"/>
          <w:szCs w:val="20"/>
          <w:color w:val="auto"/>
        </w:rPr>
      </w:pPr>
    </w:p>
    <w:p>
      <w:pPr>
        <w:ind w:left="790" w:right="3619" w:hanging="792"/>
        <w:spacing w:after="0" w:line="235" w:lineRule="auto"/>
        <w:tabs>
          <w:tab w:leader="none" w:pos="76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Cooley Godward Castro Huddleson &amp; Tatum is contained in Exhibit 5.1 to this Registration Statement</w:t>
      </w:r>
    </w:p>
    <w:p>
      <w:pPr>
        <w:spacing w:after="0" w:line="170"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is contained on the signature pages.</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1989 Stock Option Plan, as amended</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1992 Non-Employee Directors' Stock Option Plan, as amended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70" w:right="3439" w:hanging="270"/>
        <w:spacing w:after="0" w:line="235" w:lineRule="auto"/>
        <w:tabs>
          <w:tab w:leader="none" w:pos="2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Annual Report on Form 10-K for the year ended December 31, 1995, and incorporated herein by reference.</w:t>
      </w:r>
    </w:p>
    <w:p>
      <w:pPr>
        <w:sectPr>
          <w:pgSz w:w="11900" w:h="16838" w:orient="portrait"/>
          <w:cols w:equalWidth="0" w:num="1">
            <w:col w:w="10229"/>
          </w:cols>
          <w:pgMar w:left="23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1240" w:firstLine="793"/>
        <w:spacing w:after="0" w:line="258"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Carlsbad, State of California, on May 31, 1996.</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ISIS PHARMACEUTICALS, INC.</w:t>
      </w:r>
    </w:p>
    <w:p>
      <w:pPr>
        <w:spacing w:after="0" w:line="200" w:lineRule="exact"/>
        <w:rPr>
          <w:sz w:val="20"/>
          <w:szCs w:val="20"/>
          <w:color w:val="auto"/>
        </w:rPr>
      </w:pPr>
    </w:p>
    <w:p>
      <w:pPr>
        <w:spacing w:after="0" w:line="308"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5"/>
          <w:szCs w:val="15"/>
          <w:color w:val="auto"/>
        </w:rPr>
        <w:t>By:/s/ B. Lynne Parshall</w:t>
      </w:r>
    </w:p>
    <w:p>
      <w:pPr>
        <w:ind w:left="360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B. Lynne Parshall</w:t>
      </w:r>
    </w:p>
    <w:p>
      <w:pPr>
        <w:ind w:left="3960"/>
        <w:spacing w:after="0" w:line="238" w:lineRule="auto"/>
        <w:rPr>
          <w:sz w:val="20"/>
          <w:szCs w:val="20"/>
          <w:color w:val="auto"/>
        </w:rPr>
      </w:pPr>
      <w:r>
        <w:rPr>
          <w:rFonts w:ascii="Courier New" w:cs="Courier New" w:eastAsia="Courier New" w:hAnsi="Courier New"/>
          <w:sz w:val="15"/>
          <w:szCs w:val="15"/>
          <w:color w:val="auto"/>
        </w:rPr>
        <w:t>Executive Vice President, Chief</w:t>
      </w:r>
    </w:p>
    <w:p>
      <w:pPr>
        <w:ind w:left="3960"/>
        <w:spacing w:after="0"/>
        <w:rPr>
          <w:sz w:val="20"/>
          <w:szCs w:val="20"/>
          <w:color w:val="auto"/>
        </w:rPr>
      </w:pPr>
      <w:r>
        <w:rPr>
          <w:rFonts w:ascii="Courier New" w:cs="Courier New" w:eastAsia="Courier New" w:hAnsi="Courier New"/>
          <w:sz w:val="15"/>
          <w:szCs w:val="15"/>
          <w:color w:val="auto"/>
        </w:rPr>
        <w:t>Financial Officer and Secretary</w:t>
      </w:r>
    </w:p>
    <w:p>
      <w:pPr>
        <w:ind w:left="3960"/>
        <w:spacing w:after="0"/>
        <w:rPr>
          <w:sz w:val="20"/>
          <w:szCs w:val="20"/>
          <w:color w:val="auto"/>
        </w:rPr>
      </w:pPr>
      <w:r>
        <w:rPr>
          <w:rFonts w:ascii="Courier New" w:cs="Courier New" w:eastAsia="Courier New" w:hAnsi="Courier New"/>
          <w:sz w:val="15"/>
          <w:szCs w:val="15"/>
          <w:color w:val="auto"/>
        </w:rPr>
        <w:t>(Principal Financial and Accounting</w:t>
      </w:r>
    </w:p>
    <w:p>
      <w:pPr>
        <w:ind w:left="3960"/>
        <w:spacing w:after="0" w:line="238" w:lineRule="auto"/>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right="1240" w:firstLine="793"/>
        <w:spacing w:after="0" w:line="238" w:lineRule="auto"/>
        <w:rPr>
          <w:sz w:val="20"/>
          <w:szCs w:val="20"/>
          <w:color w:val="auto"/>
        </w:rPr>
      </w:pPr>
      <w:r>
        <w:rPr>
          <w:rFonts w:ascii="Courier New" w:cs="Courier New" w:eastAsia="Courier New" w:hAnsi="Courier New"/>
          <w:sz w:val="15"/>
          <w:szCs w:val="15"/>
          <w:color w:val="auto"/>
        </w:rPr>
        <w:t>KNOW ALL PERSONS BY THESE PRESENTS, that each person whose signature appears below constitutes and appoints Stanley T. Crooke, Daniel L. Kisner and B. Lynne Parshall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5" w:lineRule="exact"/>
        <w:rPr>
          <w:sz w:val="20"/>
          <w:szCs w:val="20"/>
          <w:color w:val="auto"/>
        </w:rPr>
      </w:pPr>
    </w:p>
    <w:p>
      <w:pPr>
        <w:ind w:right="1860"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8"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339"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5"/>
          <w:szCs w:val="15"/>
          <w:color w:val="auto"/>
        </w:rPr>
        <w:t>/s/ Stanley T. Crooke</w:t>
      </w:r>
      <w:r>
        <w:rPr>
          <w:sz w:val="20"/>
          <w:szCs w:val="20"/>
          <w:color w:val="auto"/>
        </w:rPr>
        <w:tab/>
      </w:r>
      <w:r>
        <w:rPr>
          <w:rFonts w:ascii="Courier New" w:cs="Courier New" w:eastAsia="Courier New" w:hAnsi="Courier New"/>
          <w:sz w:val="14"/>
          <w:szCs w:val="14"/>
          <w:color w:val="auto"/>
        </w:rPr>
        <w:t>Chairman of the Board and Chief</w:t>
      </w:r>
    </w:p>
    <w:p>
      <w:pPr>
        <w:spacing w:after="0"/>
        <w:tabs>
          <w:tab w:leader="none" w:pos="49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Executive Officer (Principal Executive</w:t>
      </w:r>
    </w:p>
    <w:p>
      <w:pPr>
        <w:spacing w:after="0"/>
        <w:tabs>
          <w:tab w:leader="none" w:pos="4740" w:val="left"/>
        </w:tabs>
        <w:rPr>
          <w:sz w:val="20"/>
          <w:szCs w:val="20"/>
          <w:color w:val="auto"/>
        </w:rPr>
      </w:pPr>
      <w:r>
        <w:rPr>
          <w:rFonts w:ascii="Courier New" w:cs="Courier New" w:eastAsia="Courier New" w:hAnsi="Courier New"/>
          <w:sz w:val="15"/>
          <w:szCs w:val="15"/>
          <w:color w:val="auto"/>
        </w:rPr>
        <w:t>Stanley T. Crooke</w:t>
      </w:r>
      <w:r>
        <w:rPr>
          <w:sz w:val="20"/>
          <w:szCs w:val="20"/>
          <w:color w:val="auto"/>
        </w:rPr>
        <w:tab/>
      </w:r>
      <w:r>
        <w:rPr>
          <w:rFonts w:ascii="Courier New" w:cs="Courier New" w:eastAsia="Courier New" w:hAnsi="Courier New"/>
          <w:sz w:val="14"/>
          <w:szCs w:val="14"/>
          <w:color w:val="auto"/>
        </w:rPr>
        <w:t>Officer)</w:t>
      </w:r>
    </w:p>
    <w:p>
      <w:pPr>
        <w:spacing w:after="0" w:line="338"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5"/>
          <w:szCs w:val="15"/>
          <w:color w:val="auto"/>
        </w:rPr>
        <w:t>/s/ B. Lynne Parshall</w:t>
      </w:r>
      <w:r>
        <w:rPr>
          <w:sz w:val="20"/>
          <w:szCs w:val="20"/>
          <w:color w:val="auto"/>
        </w:rPr>
        <w:tab/>
      </w:r>
      <w:r>
        <w:rPr>
          <w:rFonts w:ascii="Courier New" w:cs="Courier New" w:eastAsia="Courier New" w:hAnsi="Courier New"/>
          <w:sz w:val="14"/>
          <w:szCs w:val="14"/>
          <w:color w:val="auto"/>
        </w:rPr>
        <w:t>Executive Vice President, Chief</w:t>
      </w:r>
    </w:p>
    <w:p>
      <w:pPr>
        <w:spacing w:after="0"/>
        <w:tabs>
          <w:tab w:leader="none" w:pos="49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Financial Officer and Secretary</w:t>
      </w:r>
    </w:p>
    <w:p>
      <w:pPr>
        <w:spacing w:after="0"/>
        <w:tabs>
          <w:tab w:leader="none" w:pos="4740" w:val="left"/>
        </w:tabs>
        <w:rPr>
          <w:sz w:val="20"/>
          <w:szCs w:val="20"/>
          <w:color w:val="auto"/>
        </w:rPr>
      </w:pPr>
      <w:r>
        <w:rPr>
          <w:rFonts w:ascii="Courier New" w:cs="Courier New" w:eastAsia="Courier New" w:hAnsi="Courier New"/>
          <w:sz w:val="15"/>
          <w:szCs w:val="15"/>
          <w:color w:val="auto"/>
        </w:rPr>
        <w:t>B. Lynne Parshall</w:t>
      </w:r>
      <w:r>
        <w:rPr>
          <w:sz w:val="20"/>
          <w:szCs w:val="20"/>
          <w:color w:val="auto"/>
        </w:rPr>
        <w:tab/>
      </w:r>
      <w:r>
        <w:rPr>
          <w:rFonts w:ascii="Courier New" w:cs="Courier New" w:eastAsia="Courier New" w:hAnsi="Courier New"/>
          <w:sz w:val="14"/>
          <w:szCs w:val="14"/>
          <w:color w:val="auto"/>
        </w:rPr>
        <w:t>(Principal Financial and Accounting</w:t>
      </w:r>
    </w:p>
    <w:p>
      <w:pPr>
        <w:ind w:left="4760"/>
        <w:spacing w:after="0" w:line="238" w:lineRule="auto"/>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5"/>
          <w:szCs w:val="15"/>
          <w:color w:val="auto"/>
        </w:rPr>
        <w:t>/s/ Daniel L. Kisner</w:t>
      </w:r>
      <w:r>
        <w:rPr>
          <w:sz w:val="20"/>
          <w:szCs w:val="20"/>
          <w:color w:val="auto"/>
        </w:rPr>
        <w:tab/>
      </w:r>
      <w:r>
        <w:rPr>
          <w:rFonts w:ascii="Courier New" w:cs="Courier New" w:eastAsia="Courier New" w:hAnsi="Courier New"/>
          <w:sz w:val="14"/>
          <w:szCs w:val="14"/>
          <w:color w:val="auto"/>
        </w:rPr>
        <w:t>President, Chief Operating Officer</w:t>
      </w:r>
    </w:p>
    <w:p>
      <w:pPr>
        <w:spacing w:after="0"/>
        <w:tabs>
          <w:tab w:leader="none" w:pos="49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and Director</w:t>
      </w:r>
    </w:p>
    <w:p>
      <w:pPr>
        <w:spacing w:after="0"/>
        <w:rPr>
          <w:sz w:val="20"/>
          <w:szCs w:val="20"/>
          <w:color w:val="auto"/>
        </w:rPr>
      </w:pPr>
      <w:r>
        <w:rPr>
          <w:rFonts w:ascii="Courier New" w:cs="Courier New" w:eastAsia="Courier New" w:hAnsi="Courier New"/>
          <w:sz w:val="15"/>
          <w:szCs w:val="15"/>
          <w:color w:val="auto"/>
        </w:rPr>
        <w:t>Daniel L. Kisner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31, 1996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31, 1996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31, 1996</w:t>
      </w:r>
    </w:p>
    <w:p>
      <w:pPr>
        <w:sectPr>
          <w:pgSz w:w="11900" w:h="16838" w:orient="portrait"/>
          <w:cols w:equalWidth="0" w:num="2">
            <w:col w:w="8280" w:space="340"/>
            <w:col w:w="1599"/>
          </w:cols>
          <w:pgMar w:left="240" w:top="283" w:right="144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70"/>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6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678"/>
        </w:trPr>
        <w:tc>
          <w:tcPr>
            <w:tcW w:w="4400" w:type="dxa"/>
            <w:vAlign w:val="bottom"/>
          </w:tcPr>
          <w:p>
            <w:pPr>
              <w:spacing w:after="0"/>
              <w:rPr>
                <w:sz w:val="20"/>
                <w:szCs w:val="20"/>
                <w:color w:val="auto"/>
              </w:rPr>
            </w:pPr>
            <w:r>
              <w:rPr>
                <w:rFonts w:ascii="Courier New" w:cs="Courier New" w:eastAsia="Courier New" w:hAnsi="Courier New"/>
                <w:sz w:val="15"/>
                <w:szCs w:val="15"/>
                <w:color w:val="auto"/>
              </w:rPr>
              <w:t>/s/ Christopher F.O. Gabrieli</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w w:val="96"/>
              </w:rPr>
              <w:t>May 31, 1996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Christopher F.O. Gabrieli</w:t>
            </w:r>
          </w:p>
        </w:tc>
        <w:tc>
          <w:tcPr>
            <w:tcW w:w="26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509"/>
        </w:trPr>
        <w:tc>
          <w:tcPr>
            <w:tcW w:w="4400" w:type="dxa"/>
            <w:vAlign w:val="bottom"/>
          </w:tcPr>
          <w:p>
            <w:pPr>
              <w:spacing w:after="0"/>
              <w:rPr>
                <w:sz w:val="24"/>
                <w:szCs w:val="24"/>
                <w:color w:val="auto"/>
              </w:rPr>
            </w:pP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w w:val="96"/>
              </w:rPr>
              <w:t>May 31, 1996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Christoph Hohbach</w:t>
            </w:r>
          </w:p>
        </w:tc>
        <w:tc>
          <w:tcPr>
            <w:tcW w:w="2640" w:type="dxa"/>
            <w:vAlign w:val="bottom"/>
          </w:tcPr>
          <w:p>
            <w:pPr>
              <w:spacing w:after="0"/>
              <w:rPr>
                <w:sz w:val="14"/>
                <w:szCs w:val="14"/>
                <w:color w:val="auto"/>
              </w:rPr>
            </w:pPr>
          </w:p>
        </w:tc>
        <w:tc>
          <w:tcPr>
            <w:tcW w:w="2640" w:type="dxa"/>
            <w:vAlign w:val="bottom"/>
          </w:tcPr>
          <w:p>
            <w:pPr>
              <w:spacing w:after="0"/>
              <w:rPr>
                <w:sz w:val="14"/>
                <w:szCs w:val="14"/>
                <w:color w:val="auto"/>
              </w:rPr>
            </w:pPr>
          </w:p>
        </w:tc>
      </w:tr>
    </w:tbl>
    <w:p>
      <w:pPr>
        <w:spacing w:after="0" w:line="339" w:lineRule="exact"/>
        <w:rPr>
          <w:sz w:val="20"/>
          <w:szCs w:val="20"/>
          <w:color w:val="auto"/>
        </w:rPr>
      </w:pPr>
    </w:p>
    <w:p>
      <w:pPr>
        <w:ind w:left="10"/>
        <w:spacing w:after="0"/>
        <w:tabs>
          <w:tab w:leader="none" w:pos="4749" w:val="left"/>
          <w:tab w:leader="none" w:pos="8609" w:val="left"/>
        </w:tabs>
        <w:rPr>
          <w:sz w:val="20"/>
          <w:szCs w:val="20"/>
          <w:color w:val="auto"/>
        </w:rPr>
      </w:pPr>
      <w:r>
        <w:rPr>
          <w:rFonts w:ascii="Courier New" w:cs="Courier New" w:eastAsia="Courier New" w:hAnsi="Courier New"/>
          <w:sz w:val="15"/>
          <w:szCs w:val="15"/>
          <w:color w:val="auto"/>
        </w:rPr>
        <w:t>/s/ Alan C. Mendelson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31, 1996</w:t>
      </w: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C. Mendelson</w:t>
      </w:r>
    </w:p>
    <w:p>
      <w:pPr>
        <w:spacing w:after="0" w:line="338" w:lineRule="exact"/>
        <w:rPr>
          <w:sz w:val="20"/>
          <w:szCs w:val="20"/>
          <w:color w:val="auto"/>
        </w:rPr>
      </w:pPr>
    </w:p>
    <w:p>
      <w:pPr>
        <w:ind w:left="10"/>
        <w:spacing w:after="0"/>
        <w:tabs>
          <w:tab w:leader="none" w:pos="4749" w:val="left"/>
          <w:tab w:leader="none" w:pos="8609" w:val="left"/>
        </w:tabs>
        <w:rPr>
          <w:sz w:val="20"/>
          <w:szCs w:val="20"/>
          <w:color w:val="auto"/>
        </w:rPr>
      </w:pPr>
      <w:r>
        <w:rPr>
          <w:rFonts w:ascii="Courier New" w:cs="Courier New" w:eastAsia="Courier New" w:hAnsi="Courier New"/>
          <w:sz w:val="15"/>
          <w:szCs w:val="15"/>
          <w:color w:val="auto"/>
        </w:rPr>
        <w:t>/s/ William R. Miller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31, 1996</w:t>
      </w: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R. Miller</w:t>
      </w:r>
    </w:p>
    <w:p>
      <w:pPr>
        <w:spacing w:after="0" w:line="338" w:lineRule="exact"/>
        <w:rPr>
          <w:sz w:val="20"/>
          <w:szCs w:val="20"/>
          <w:color w:val="auto"/>
        </w:rPr>
      </w:pPr>
    </w:p>
    <w:p>
      <w:pPr>
        <w:ind w:left="10"/>
        <w:spacing w:after="0"/>
        <w:tabs>
          <w:tab w:leader="none" w:pos="4749" w:val="left"/>
          <w:tab w:leader="none" w:pos="8609" w:val="left"/>
        </w:tabs>
        <w:rPr>
          <w:sz w:val="20"/>
          <w:szCs w:val="20"/>
          <w:color w:val="auto"/>
        </w:rPr>
      </w:pPr>
      <w:r>
        <w:rPr>
          <w:rFonts w:ascii="Courier New" w:cs="Courier New" w:eastAsia="Courier New" w:hAnsi="Courier New"/>
          <w:sz w:val="15"/>
          <w:szCs w:val="15"/>
          <w:color w:val="auto"/>
        </w:rPr>
        <w:t>/s/ Mark B. Skaletsky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31, 1996</w:t>
      </w: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B. Skaletsky</w:t>
      </w:r>
    </w:p>
    <w:p>
      <w:pPr>
        <w:spacing w:after="0" w:line="338" w:lineRule="exact"/>
        <w:rPr>
          <w:sz w:val="20"/>
          <w:szCs w:val="20"/>
          <w:color w:val="auto"/>
        </w:rPr>
      </w:pPr>
    </w:p>
    <w:tbl>
      <w:tblPr>
        <w:tblLayout w:type="fixed"/>
        <w:tblInd w:w="477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w w:val="96"/>
              </w:rPr>
              <w:t>May 31, 1996</w:t>
            </w:r>
          </w:p>
        </w:tc>
      </w:tr>
    </w:tbl>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Soll</w:t>
      </w:r>
    </w:p>
    <w:p>
      <w:pPr>
        <w:spacing w:after="0" w:line="338" w:lineRule="exact"/>
        <w:rPr>
          <w:sz w:val="20"/>
          <w:szCs w:val="20"/>
          <w:color w:val="auto"/>
        </w:rPr>
      </w:pPr>
    </w:p>
    <w:p>
      <w:pPr>
        <w:ind w:left="10"/>
        <w:spacing w:after="0"/>
        <w:tabs>
          <w:tab w:leader="none" w:pos="4749" w:val="left"/>
          <w:tab w:leader="none" w:pos="8609" w:val="left"/>
        </w:tabs>
        <w:rPr>
          <w:sz w:val="20"/>
          <w:szCs w:val="20"/>
          <w:color w:val="auto"/>
        </w:rPr>
      </w:pPr>
      <w:r>
        <w:rPr>
          <w:rFonts w:ascii="Courier New" w:cs="Courier New" w:eastAsia="Courier New" w:hAnsi="Courier New"/>
          <w:sz w:val="15"/>
          <w:szCs w:val="15"/>
          <w:color w:val="auto"/>
        </w:rPr>
        <w:t>/s/ Joseph H. Wender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31, 1996</w:t>
      </w: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H. Wender</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tbl>
      <w:tblPr>
        <w:tblLayout w:type="fixed"/>
        <w:tblInd w:w="1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00" w:type="dxa"/>
            <w:vAlign w:val="bottom"/>
          </w:tcPr>
          <w:p>
            <w:pPr>
              <w:ind w:left="560"/>
              <w:spacing w:after="0"/>
              <w:rPr>
                <w:sz w:val="20"/>
                <w:szCs w:val="20"/>
                <w:color w:val="auto"/>
              </w:rPr>
            </w:pPr>
            <w:r>
              <w:rPr>
                <w:rFonts w:ascii="Courier New" w:cs="Courier New" w:eastAsia="Courier New" w:hAnsi="Courier New"/>
                <w:sz w:val="15"/>
                <w:szCs w:val="15"/>
                <w:color w:val="auto"/>
              </w:rPr>
              <w:t>EXHIBIT INDEX</w:t>
            </w:r>
          </w:p>
        </w:tc>
        <w:tc>
          <w:tcPr>
            <w:tcW w:w="2560" w:type="dxa"/>
            <w:vAlign w:val="bottom"/>
          </w:tcPr>
          <w:p>
            <w:pPr>
              <w:spacing w:after="0"/>
              <w:rPr>
                <w:sz w:val="14"/>
                <w:szCs w:val="14"/>
                <w:color w:val="auto"/>
              </w:rPr>
            </w:pPr>
          </w:p>
        </w:tc>
      </w:tr>
      <w:tr>
        <w:trPr>
          <w:trHeight w:val="678"/>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00" w:type="dxa"/>
            <w:vAlign w:val="bottom"/>
          </w:tcPr>
          <w:p>
            <w:pPr>
              <w:ind w:left="560"/>
              <w:spacing w:after="0"/>
              <w:rPr>
                <w:sz w:val="20"/>
                <w:szCs w:val="20"/>
                <w:color w:val="auto"/>
              </w:rPr>
            </w:pPr>
            <w:r>
              <w:rPr>
                <w:rFonts w:ascii="Courier New" w:cs="Courier New" w:eastAsia="Courier New" w:hAnsi="Courier New"/>
                <w:sz w:val="15"/>
                <w:szCs w:val="15"/>
                <w:color w:val="auto"/>
              </w:rPr>
              <w:t>DESCRIPTION</w:t>
            </w:r>
          </w:p>
        </w:tc>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SEQUENTIAL PAGE NUMBER</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6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Opinion of</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Cooley</w:t>
            </w:r>
          </w:p>
        </w:tc>
        <w:tc>
          <w:tcPr>
            <w:tcW w:w="4700" w:type="dxa"/>
            <w:vAlign w:val="bottom"/>
          </w:tcPr>
          <w:p>
            <w:pPr>
              <w:ind w:left="40"/>
              <w:spacing w:after="0"/>
              <w:rPr>
                <w:sz w:val="20"/>
                <w:szCs w:val="20"/>
                <w:color w:val="auto"/>
              </w:rPr>
            </w:pPr>
            <w:r>
              <w:rPr>
                <w:rFonts w:ascii="Courier New" w:cs="Courier New" w:eastAsia="Courier New" w:hAnsi="Courier New"/>
                <w:sz w:val="15"/>
                <w:szCs w:val="15"/>
                <w:color w:val="auto"/>
              </w:rPr>
              <w:t>Godward Castro Huddleson &amp; Tatum</w:t>
            </w:r>
          </w:p>
        </w:tc>
        <w:tc>
          <w:tcPr>
            <w:tcW w:w="2560" w:type="dxa"/>
            <w:vAlign w:val="bottom"/>
          </w:tcPr>
          <w:p>
            <w:pPr>
              <w:ind w:left="1500"/>
              <w:spacing w:after="0"/>
              <w:rPr>
                <w:sz w:val="20"/>
                <w:szCs w:val="20"/>
                <w:color w:val="auto"/>
              </w:rPr>
            </w:pPr>
            <w:r>
              <w:rPr>
                <w:rFonts w:ascii="Courier New" w:cs="Courier New" w:eastAsia="Courier New" w:hAnsi="Courier New"/>
                <w:sz w:val="15"/>
                <w:szCs w:val="15"/>
                <w:color w:val="auto"/>
              </w:rPr>
              <w:t>7</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Consent of</w:t>
            </w:r>
          </w:p>
        </w:tc>
        <w:tc>
          <w:tcPr>
            <w:tcW w:w="5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Ernst &amp; Young LLP</w:t>
            </w:r>
          </w:p>
        </w:tc>
        <w:tc>
          <w:tcPr>
            <w:tcW w:w="2560" w:type="dxa"/>
            <w:vAlign w:val="bottom"/>
          </w:tcPr>
          <w:p>
            <w:pPr>
              <w:ind w:left="1500"/>
              <w:spacing w:after="0"/>
              <w:rPr>
                <w:sz w:val="20"/>
                <w:szCs w:val="20"/>
                <w:color w:val="auto"/>
              </w:rPr>
            </w:pPr>
            <w:r>
              <w:rPr>
                <w:rFonts w:ascii="Courier New" w:cs="Courier New" w:eastAsia="Courier New" w:hAnsi="Courier New"/>
                <w:sz w:val="15"/>
                <w:szCs w:val="15"/>
                <w:color w:val="auto"/>
              </w:rPr>
              <w:t>8</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Consent of</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Cooley</w:t>
            </w:r>
          </w:p>
        </w:tc>
        <w:tc>
          <w:tcPr>
            <w:tcW w:w="4700" w:type="dxa"/>
            <w:vAlign w:val="bottom"/>
          </w:tcPr>
          <w:p>
            <w:pPr>
              <w:ind w:left="40"/>
              <w:spacing w:after="0"/>
              <w:rPr>
                <w:sz w:val="20"/>
                <w:szCs w:val="20"/>
                <w:color w:val="auto"/>
              </w:rPr>
            </w:pPr>
            <w:r>
              <w:rPr>
                <w:rFonts w:ascii="Courier New" w:cs="Courier New" w:eastAsia="Courier New" w:hAnsi="Courier New"/>
                <w:sz w:val="15"/>
                <w:szCs w:val="15"/>
                <w:color w:val="auto"/>
              </w:rPr>
              <w:t>Godward Castro Huddleson &amp; Tatum is contained in</w:t>
            </w:r>
          </w:p>
        </w:tc>
        <w:tc>
          <w:tcPr>
            <w:tcW w:w="256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3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Exhibit 5.1 to this Registration Statement</w:t>
            </w:r>
          </w:p>
        </w:tc>
        <w:tc>
          <w:tcPr>
            <w:tcW w:w="2560" w:type="dxa"/>
            <w:vAlign w:val="bottom"/>
          </w:tcPr>
          <w:p>
            <w:pPr>
              <w:ind w:left="1500"/>
              <w:spacing w:after="0"/>
              <w:rPr>
                <w:sz w:val="20"/>
                <w:szCs w:val="20"/>
                <w:color w:val="auto"/>
              </w:rPr>
            </w:pPr>
            <w:r>
              <w:rPr>
                <w:rFonts w:ascii="Courier New" w:cs="Courier New" w:eastAsia="Courier New" w:hAnsi="Courier New"/>
                <w:sz w:val="15"/>
                <w:szCs w:val="15"/>
                <w:color w:val="auto"/>
              </w:rPr>
              <w:t>7</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16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Power of Attorney</w:t>
            </w:r>
          </w:p>
        </w:tc>
        <w:tc>
          <w:tcPr>
            <w:tcW w:w="4700" w:type="dxa"/>
            <w:vAlign w:val="bottom"/>
          </w:tcPr>
          <w:p>
            <w:pPr>
              <w:ind w:left="40"/>
              <w:spacing w:after="0"/>
              <w:rPr>
                <w:sz w:val="20"/>
                <w:szCs w:val="20"/>
                <w:color w:val="auto"/>
              </w:rPr>
            </w:pPr>
            <w:r>
              <w:rPr>
                <w:rFonts w:ascii="Courier New" w:cs="Courier New" w:eastAsia="Courier New" w:hAnsi="Courier New"/>
                <w:sz w:val="15"/>
                <w:szCs w:val="15"/>
                <w:color w:val="auto"/>
              </w:rPr>
              <w:t>is contained on the signature pages</w:t>
            </w:r>
          </w:p>
        </w:tc>
        <w:tc>
          <w:tcPr>
            <w:tcW w:w="2560" w:type="dxa"/>
            <w:vAlign w:val="bottom"/>
          </w:tcPr>
          <w:p>
            <w:pPr>
              <w:ind w:left="1500"/>
              <w:spacing w:after="0"/>
              <w:rPr>
                <w:sz w:val="20"/>
                <w:szCs w:val="20"/>
                <w:color w:val="auto"/>
              </w:rPr>
            </w:pPr>
            <w:r>
              <w:rPr>
                <w:rFonts w:ascii="Courier New" w:cs="Courier New" w:eastAsia="Courier New" w:hAnsi="Courier New"/>
                <w:sz w:val="15"/>
                <w:szCs w:val="15"/>
                <w:color w:val="auto"/>
              </w:rPr>
              <w:t>3</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1989 Stock</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c>
          <w:tcPr>
            <w:tcW w:w="4700" w:type="dxa"/>
            <w:vAlign w:val="bottom"/>
          </w:tcPr>
          <w:p>
            <w:pPr>
              <w:ind w:left="40"/>
              <w:spacing w:after="0"/>
              <w:rPr>
                <w:sz w:val="20"/>
                <w:szCs w:val="20"/>
                <w:color w:val="auto"/>
              </w:rPr>
            </w:pPr>
            <w:r>
              <w:rPr>
                <w:rFonts w:ascii="Courier New" w:cs="Courier New" w:eastAsia="Courier New" w:hAnsi="Courier New"/>
                <w:sz w:val="15"/>
                <w:szCs w:val="15"/>
                <w:color w:val="auto"/>
              </w:rPr>
              <w:t>Plan, as amended</w:t>
            </w:r>
          </w:p>
        </w:tc>
        <w:tc>
          <w:tcPr>
            <w:tcW w:w="256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16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1992 Non-Employee</w:t>
            </w:r>
          </w:p>
        </w:tc>
        <w:tc>
          <w:tcPr>
            <w:tcW w:w="4700" w:type="dxa"/>
            <w:vAlign w:val="bottom"/>
          </w:tcPr>
          <w:p>
            <w:pPr>
              <w:ind w:left="40"/>
              <w:spacing w:after="0"/>
              <w:rPr>
                <w:sz w:val="20"/>
                <w:szCs w:val="20"/>
                <w:color w:val="auto"/>
              </w:rPr>
            </w:pPr>
            <w:r>
              <w:rPr>
                <w:rFonts w:ascii="Courier New" w:cs="Courier New" w:eastAsia="Courier New" w:hAnsi="Courier New"/>
                <w:sz w:val="15"/>
                <w:szCs w:val="15"/>
                <w:color w:val="auto"/>
              </w:rPr>
              <w:t>Directors' Stock Option Plan, as amended</w:t>
            </w:r>
          </w:p>
        </w:tc>
        <w:tc>
          <w:tcPr>
            <w:tcW w:w="2560" w:type="dxa"/>
            <w:vAlign w:val="bottom"/>
          </w:tcPr>
          <w:p>
            <w:pPr>
              <w:ind w:left="1500"/>
              <w:spacing w:after="0"/>
              <w:rPr>
                <w:sz w:val="20"/>
                <w:szCs w:val="20"/>
                <w:color w:val="auto"/>
              </w:rPr>
            </w:pPr>
            <w:r>
              <w:rPr>
                <w:rFonts w:ascii="Courier New" w:cs="Courier New" w:eastAsia="Courier New" w:hAnsi="Courier New"/>
                <w:sz w:val="15"/>
                <w:szCs w:val="15"/>
                <w:color w:val="auto"/>
              </w:rPr>
              <w:t>9</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to the Registrant's Annual Report on Form 10-K for the year ended December 31, 1995, and incorporated herein by reference.</w:t>
      </w:r>
    </w:p>
    <w:p>
      <w:pPr>
        <w:sectPr>
          <w:pgSz w:w="11900" w:h="16838" w:orient="portrait"/>
          <w:cols w:equalWidth="0" w:num="1">
            <w:col w:w="10229"/>
          </w:cols>
          <w:pgMar w:left="23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5.1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ISIS PHARMACEUTICALS, INC.</w:t>
      </w:r>
    </w:p>
    <w:p>
      <w:pPr>
        <w:spacing w:after="0"/>
        <w:rPr>
          <w:sz w:val="20"/>
          <w:szCs w:val="20"/>
          <w:color w:val="auto"/>
        </w:rPr>
      </w:pPr>
      <w:r>
        <w:rPr>
          <w:rFonts w:ascii="Courier New" w:cs="Courier New" w:eastAsia="Courier New" w:hAnsi="Courier New"/>
          <w:sz w:val="15"/>
          <w:szCs w:val="15"/>
          <w:color w:val="auto"/>
        </w:rPr>
        <w:t>2292 Faraday Avenue</w:t>
      </w:r>
    </w:p>
    <w:p>
      <w:pPr>
        <w:spacing w:after="0"/>
        <w:tabs>
          <w:tab w:leader="none" w:pos="1200" w:val="left"/>
        </w:tabs>
        <w:rPr>
          <w:sz w:val="20"/>
          <w:szCs w:val="20"/>
          <w:color w:val="auto"/>
        </w:rPr>
      </w:pPr>
      <w:r>
        <w:rPr>
          <w:rFonts w:ascii="Courier New" w:cs="Courier New" w:eastAsia="Courier New" w:hAnsi="Courier New"/>
          <w:sz w:val="15"/>
          <w:szCs w:val="15"/>
          <w:color w:val="auto"/>
        </w:rPr>
        <w:t>Carlsbad, CA</w:t>
      </w:r>
      <w:r>
        <w:rPr>
          <w:sz w:val="20"/>
          <w:szCs w:val="20"/>
          <w:color w:val="auto"/>
        </w:rPr>
        <w:tab/>
      </w:r>
      <w:r>
        <w:rPr>
          <w:rFonts w:ascii="Courier New" w:cs="Courier New" w:eastAsia="Courier New" w:hAnsi="Courier New"/>
          <w:sz w:val="14"/>
          <w:szCs w:val="14"/>
          <w:color w:val="auto"/>
        </w:rPr>
        <w:t>92008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You have requested our opinion with respect to certain matters in connection with the filing by Isis Pharmaceuticals, Inc. (the "Company") of a Registration Statement on Form S-8 (the "Registration Statement") with the Securities and Exchange Commission covering the offering of up to 2,200,000 shares of the Company's Common Stock, $.001 par value pursuant to its 1989 Stock Option Plan (the "1989 Plan") and up to 100,000 shares of the Company's Common Stock, $.001 par value, pursuant to its 1992 Non-Employee Directors' Stock Option Plan (the "1992 Plan") (collectively referred to herein as the "Shares").</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connection with this opinion, we have examined the 1989 Plan, the 1992 Plan, the Registration Statement, your Certificate of Incorporation and By-laws, as amended, and such other documents, records, certificates, memoranda and other instruments as we deem necessary as a basis for this opinion. We have assumed the genuineness and authenticity of all documents submitted to us as originals, the conformity to originals of all documents submitted to us as copies thereof, and the due execution and delivery of all documents where due execution and delivery are a prerequisite to the effectiveness thereof.</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the basis of the foregoing, and in reliance thereon, we are of the opinion that the Shares, when sold and issued in accordance with the 1989 Plan, the 1992 Plan and the Registration Statement, will be validly issued, fully paid, and nonassessable.</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We consent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COOLEY GODWARD CASTRO</w:t>
      </w:r>
    </w:p>
    <w:p>
      <w:pPr>
        <w:spacing w:after="0"/>
        <w:rPr>
          <w:sz w:val="20"/>
          <w:szCs w:val="20"/>
          <w:color w:val="auto"/>
        </w:rPr>
      </w:pPr>
      <w:r>
        <w:rPr>
          <w:rFonts w:ascii="Courier New" w:cs="Courier New" w:eastAsia="Courier New" w:hAnsi="Courier New"/>
          <w:sz w:val="15"/>
          <w:szCs w:val="15"/>
          <w:color w:val="auto"/>
        </w:rPr>
        <w:t>HUDDLESON &amp; TATUM</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D. BRADLEY PECK</w:t>
      </w:r>
    </w:p>
    <w:p>
      <w:pPr>
        <w:ind w:left="260"/>
        <w:spacing w:after="0"/>
        <w:rPr>
          <w:sz w:val="20"/>
          <w:szCs w:val="20"/>
          <w:color w:val="auto"/>
        </w:rPr>
      </w:pPr>
      <w:r>
        <w:rPr>
          <w:rFonts w:ascii="Courier New" w:cs="Courier New" w:eastAsia="Courier New" w:hAnsi="Courier New"/>
          <w:sz w:val="15"/>
          <w:szCs w:val="15"/>
          <w:color w:val="auto"/>
        </w:rPr>
        <w:t>_____________________________</w:t>
      </w:r>
    </w:p>
    <w:p>
      <w:pPr>
        <w:ind w:left="780"/>
        <w:spacing w:after="0"/>
        <w:rPr>
          <w:sz w:val="20"/>
          <w:szCs w:val="20"/>
          <w:color w:val="auto"/>
        </w:rPr>
      </w:pPr>
      <w:r>
        <w:rPr>
          <w:rFonts w:ascii="Courier New" w:cs="Courier New" w:eastAsia="Courier New" w:hAnsi="Courier New"/>
          <w:sz w:val="15"/>
          <w:szCs w:val="15"/>
          <w:color w:val="auto"/>
        </w:rPr>
        <w:t>D. Bradley Peck</w:t>
      </w:r>
    </w:p>
    <w:p>
      <w:pPr>
        <w:sectPr>
          <w:pgSz w:w="11900" w:h="16838" w:orient="portrait"/>
          <w:cols w:equalWidth="0" w:num="1">
            <w:col w:w="10219"/>
          </w:cols>
          <w:pgMar w:left="240" w:top="13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33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pertaining to the 1989 Stock Option Plan and the 1992 Non-Employee Directors' Stock Option Plan of Isis Pharmaceuticals, Inc. for the registration of 2,200,000 shares and 100,000 shares, respectively, of our report dated January 26, 1996, with respect to the financial statements of Isis Pharmaceuticals, Inc. included in its Annual Report (Form 10-K) for the year ended December 31, 1995 filed with the Securities and Exchange Commission.</w:t>
      </w:r>
    </w:p>
    <w:p>
      <w:pPr>
        <w:spacing w:after="0" w:line="200" w:lineRule="exact"/>
        <w:rPr>
          <w:sz w:val="20"/>
          <w:szCs w:val="20"/>
          <w:color w:val="auto"/>
        </w:rPr>
      </w:pPr>
    </w:p>
    <w:p>
      <w:pPr>
        <w:spacing w:after="0" w:line="30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 ERNST &amp; YOUNG LLP</w:t>
      </w:r>
    </w:p>
    <w:p>
      <w:pPr>
        <w:ind w:left="4300"/>
        <w:spacing w:after="0"/>
        <w:rPr>
          <w:sz w:val="20"/>
          <w:szCs w:val="20"/>
          <w:color w:val="auto"/>
        </w:rPr>
      </w:pPr>
      <w:r>
        <w:rPr>
          <w:rFonts w:ascii="Courier New" w:cs="Courier New" w:eastAsia="Courier New" w:hAnsi="Courier New"/>
          <w:sz w:val="15"/>
          <w:szCs w:val="15"/>
          <w:color w:val="auto"/>
        </w:rPr>
        <w:t>----------------------------</w:t>
      </w:r>
    </w:p>
    <w:p>
      <w:pPr>
        <w:ind w:left="466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rPr>
          <w:sz w:val="20"/>
          <w:szCs w:val="20"/>
          <w:color w:val="auto"/>
        </w:rPr>
      </w:pPr>
      <w:r>
        <w:rPr>
          <w:rFonts w:ascii="Courier New" w:cs="Courier New" w:eastAsia="Courier New" w:hAnsi="Courier New"/>
          <w:sz w:val="15"/>
          <w:szCs w:val="15"/>
          <w:color w:val="auto"/>
        </w:rPr>
        <w:t>June 6, 1996</w:t>
      </w:r>
    </w:p>
    <w:p>
      <w:pPr>
        <w:sectPr>
          <w:pgSz w:w="11900" w:h="16838" w:orient="portrait"/>
          <w:cols w:equalWidth="0" w:num="1">
            <w:col w:w="10219"/>
          </w:cols>
          <w:pgMar w:left="240" w:top="136"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99.2</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ISIS PHARMACEUTICALS, INC.</w:t>
      </w:r>
    </w:p>
    <w:p>
      <w:pPr>
        <w:jc w:val="center"/>
        <w:ind w:right="3170"/>
        <w:spacing w:after="0"/>
        <w:rPr>
          <w:sz w:val="20"/>
          <w:szCs w:val="20"/>
          <w:color w:val="auto"/>
        </w:rPr>
      </w:pPr>
      <w:r>
        <w:rPr>
          <w:rFonts w:ascii="Courier New" w:cs="Courier New" w:eastAsia="Courier New" w:hAnsi="Courier New"/>
          <w:sz w:val="15"/>
          <w:szCs w:val="15"/>
          <w:color w:val="auto"/>
        </w:rPr>
        <w:t>1992 NON-EMPLOYEE DIRECTORS' STOCK OPTION PLAN</w:t>
      </w:r>
    </w:p>
    <w:p>
      <w:pPr>
        <w:jc w:val="center"/>
        <w:ind w:right="3170"/>
        <w:spacing w:after="0"/>
        <w:rPr>
          <w:sz w:val="20"/>
          <w:szCs w:val="20"/>
          <w:color w:val="auto"/>
        </w:rPr>
      </w:pPr>
      <w:r>
        <w:rPr>
          <w:rFonts w:ascii="Courier New" w:cs="Courier New" w:eastAsia="Courier New" w:hAnsi="Courier New"/>
          <w:sz w:val="15"/>
          <w:szCs w:val="15"/>
          <w:color w:val="auto"/>
        </w:rPr>
        <w:t>Adopted on July 20, 1992</w:t>
      </w:r>
    </w:p>
    <w:p>
      <w:pPr>
        <w:jc w:val="center"/>
        <w:ind w:right="3090"/>
        <w:spacing w:after="0" w:line="238" w:lineRule="auto"/>
        <w:rPr>
          <w:sz w:val="20"/>
          <w:szCs w:val="20"/>
          <w:color w:val="auto"/>
        </w:rPr>
      </w:pPr>
      <w:r>
        <w:rPr>
          <w:rFonts w:ascii="Courier New" w:cs="Courier New" w:eastAsia="Courier New" w:hAnsi="Courier New"/>
          <w:sz w:val="15"/>
          <w:szCs w:val="15"/>
          <w:color w:val="auto"/>
        </w:rPr>
        <w:t>Amended March 4, 1993</w:t>
      </w:r>
    </w:p>
    <w:p>
      <w:pPr>
        <w:jc w:val="center"/>
        <w:ind w:right="3090"/>
        <w:spacing w:after="0"/>
        <w:rPr>
          <w:sz w:val="20"/>
          <w:szCs w:val="20"/>
          <w:color w:val="auto"/>
        </w:rPr>
      </w:pPr>
      <w:r>
        <w:rPr>
          <w:rFonts w:ascii="Courier New" w:cs="Courier New" w:eastAsia="Courier New" w:hAnsi="Courier New"/>
          <w:sz w:val="15"/>
          <w:szCs w:val="15"/>
          <w:color w:val="auto"/>
        </w:rPr>
        <w:t>Amended February 28, 1996</w:t>
      </w:r>
    </w:p>
    <w:p>
      <w:pPr>
        <w:spacing w:after="0" w:line="169" w:lineRule="exact"/>
        <w:rPr>
          <w:sz w:val="20"/>
          <w:szCs w:val="20"/>
          <w:color w:val="auto"/>
        </w:rPr>
      </w:pPr>
    </w:p>
    <w:p>
      <w:pPr>
        <w:ind w:left="790" w:hanging="790"/>
        <w:spacing w:after="0"/>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4" w:lineRule="exact"/>
        <w:rPr>
          <w:rFonts w:ascii="Courier New" w:cs="Courier New" w:eastAsia="Courier New" w:hAnsi="Courier New"/>
          <w:sz w:val="15"/>
          <w:szCs w:val="15"/>
          <w:color w:val="auto"/>
        </w:rPr>
      </w:pPr>
    </w:p>
    <w:p>
      <w:pPr>
        <w:ind w:left="10" w:right="3359" w:firstLine="784"/>
        <w:spacing w:after="0" w:line="238" w:lineRule="auto"/>
        <w:tabs>
          <w:tab w:leader="none" w:pos="115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1992 Non-Employee Directors' Stock Option Plan (the "Plan") is to provide a means by which each director of Isis Pharmaceuticals, Inc., a Delaware corporation (the "Company"), who is not otherwise an employee of the Company or of any Affiliate of the Company (each such person being hereafter referred to as a "Non-Employee Director") will be given an opportunity to purchase stock of the Company.</w:t>
      </w:r>
    </w:p>
    <w:p>
      <w:pPr>
        <w:spacing w:after="0" w:line="175" w:lineRule="exact"/>
        <w:rPr>
          <w:rFonts w:ascii="Courier New" w:cs="Courier New" w:eastAsia="Courier New" w:hAnsi="Courier New"/>
          <w:sz w:val="15"/>
          <w:szCs w:val="15"/>
          <w:color w:val="auto"/>
        </w:rPr>
      </w:pPr>
    </w:p>
    <w:p>
      <w:pPr>
        <w:ind w:left="10" w:right="3259" w:firstLine="784"/>
        <w:spacing w:after="0" w:line="237" w:lineRule="auto"/>
        <w:tabs>
          <w:tab w:leader="none" w:pos="115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"Affiliate" as used in the Plan means any parent corporation or subsidiary corporation of the Company as those terms are defined in Sections 424(e) and (f), respectively, of the Internal Revenue Code of 1986, as amended (the "Code").</w:t>
      </w:r>
    </w:p>
    <w:p>
      <w:pPr>
        <w:spacing w:after="0" w:line="176" w:lineRule="exact"/>
        <w:rPr>
          <w:rFonts w:ascii="Courier New" w:cs="Courier New" w:eastAsia="Courier New" w:hAnsi="Courier New"/>
          <w:sz w:val="15"/>
          <w:szCs w:val="15"/>
          <w:color w:val="auto"/>
        </w:rPr>
      </w:pPr>
    </w:p>
    <w:p>
      <w:pPr>
        <w:ind w:left="10" w:right="3259" w:firstLine="784"/>
        <w:spacing w:after="0" w:line="237" w:lineRule="auto"/>
        <w:tabs>
          <w:tab w:leader="none" w:pos="115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means of the Plan, seeks to retain the services of persons now serving as Non-Employee Directors of the Company, to secure and retain the services of persons capable of serving in such capacity, and to provide incentives for such persons to exert maximum efforts for the success of the Company.</w:t>
      </w:r>
    </w:p>
    <w:p>
      <w:pPr>
        <w:spacing w:after="0" w:line="178" w:lineRule="exact"/>
        <w:rPr>
          <w:rFonts w:ascii="Courier New" w:cs="Courier New" w:eastAsia="Courier New" w:hAnsi="Courier New"/>
          <w:sz w:val="15"/>
          <w:szCs w:val="15"/>
          <w:color w:val="auto"/>
        </w:rPr>
      </w:pPr>
    </w:p>
    <w:p>
      <w:pPr>
        <w:ind w:left="10" w:right="3359" w:firstLine="784"/>
        <w:spacing w:after="0" w:line="235" w:lineRule="auto"/>
        <w:tabs>
          <w:tab w:leader="none" w:pos="115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intends that the options issued under the Plan not be incentive stock options as that term is used in Section 422 of the Code.</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rFonts w:ascii="Courier New" w:cs="Courier New" w:eastAsia="Courier New" w:hAnsi="Courier New"/>
          <w:sz w:val="15"/>
          <w:szCs w:val="15"/>
          <w:color w:val="auto"/>
        </w:rPr>
      </w:pPr>
    </w:p>
    <w:p>
      <w:pPr>
        <w:ind w:left="10" w:right="3359" w:firstLine="784"/>
        <w:spacing w:after="0" w:line="237" w:lineRule="auto"/>
        <w:tabs>
          <w:tab w:leader="none" w:pos="1155"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Board of Directors of the Company (the "Board") unless and until the Board delegates administration to a committee, as provided in subparagraph 2(c).</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136"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0" w:right="3979" w:firstLine="784"/>
        <w:spacing w:after="0" w:line="235" w:lineRule="auto"/>
        <w:tabs>
          <w:tab w:leader="none" w:pos="115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power, subject to, and within the limitations of, the express provisions of the Plan:</w:t>
      </w:r>
    </w:p>
    <w:p>
      <w:pPr>
        <w:spacing w:after="0" w:line="175" w:lineRule="exact"/>
        <w:rPr>
          <w:rFonts w:ascii="Courier New" w:cs="Courier New" w:eastAsia="Courier New" w:hAnsi="Courier New"/>
          <w:sz w:val="15"/>
          <w:szCs w:val="15"/>
          <w:color w:val="auto"/>
        </w:rPr>
      </w:pPr>
    </w:p>
    <w:p>
      <w:pPr>
        <w:ind w:left="10" w:right="3359" w:firstLine="1577"/>
        <w:spacing w:after="0" w:line="238" w:lineRule="auto"/>
        <w:tabs>
          <w:tab w:leader="none" w:pos="194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options granted under it, and to establish, amend and revoke rules and regulations for its administration. The Board, in the exercise of this power, may correct any defect, omission or inconsistency in the Plan or in any option agreement, in a manner and to the extent it shall deem necessary or expedient to make the Plan fully effective.</w:t>
      </w:r>
    </w:p>
    <w:p>
      <w:pPr>
        <w:spacing w:after="0" w:line="169" w:lineRule="exact"/>
        <w:rPr>
          <w:rFonts w:ascii="Courier New" w:cs="Courier New" w:eastAsia="Courier New" w:hAnsi="Courier New"/>
          <w:sz w:val="15"/>
          <w:szCs w:val="15"/>
          <w:color w:val="auto"/>
        </w:rPr>
      </w:pPr>
    </w:p>
    <w:p>
      <w:pPr>
        <w:ind w:left="1930" w:hanging="343"/>
        <w:spacing w:after="0"/>
        <w:tabs>
          <w:tab w:leader="none" w:pos="193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Plan as provided in paragraph 11.</w:t>
      </w:r>
    </w:p>
    <w:p>
      <w:pPr>
        <w:spacing w:after="0" w:line="174" w:lineRule="exact"/>
        <w:rPr>
          <w:rFonts w:ascii="Courier New" w:cs="Courier New" w:eastAsia="Courier New" w:hAnsi="Courier New"/>
          <w:sz w:val="15"/>
          <w:szCs w:val="15"/>
          <w:color w:val="auto"/>
        </w:rPr>
      </w:pPr>
    </w:p>
    <w:p>
      <w:pPr>
        <w:ind w:left="10" w:right="3539" w:firstLine="1577"/>
        <w:spacing w:after="0" w:line="237" w:lineRule="auto"/>
        <w:tabs>
          <w:tab w:leader="none" w:pos="194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the Board deems necessary or expedient to promote the best interests of the Company.</w:t>
      </w:r>
    </w:p>
    <w:p>
      <w:pPr>
        <w:spacing w:after="0" w:line="174"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delegate administration of the Plan to a committee composed of not fewer than two (2) members of the Board (the "Committee"). If administration is delegated to a Committee, the Committee shall have, in connection with the administration of the Plan, the powers theretofore possessed by the Board, subject, however, to such resolutions, not inconsistent with the provisions of the Plan, as may be adopted from time to time by the Board. The Board may abolish the Committee at any time and revest in the Board the administration of the Plan.</w:t>
      </w:r>
    </w:p>
    <w:p>
      <w:pPr>
        <w:spacing w:after="0" w:line="17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15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paragraph 10 relating to adjustments upon changes in stock, the stock that may be sold pursuant to options granted under the Plan shall not exceed in the aggregate three-hundred thousand (300,000) shares of the Company's common stock. If any option granted under the Plan shall for any reason expire or otherwise terminate without having been exercised in full, the stock not purchased under such option shall again become available for the Plan.</w:t>
      </w:r>
    </w:p>
    <w:p>
      <w:pPr>
        <w:spacing w:after="0" w:line="176" w:lineRule="exact"/>
        <w:rPr>
          <w:rFonts w:ascii="Courier New" w:cs="Courier New" w:eastAsia="Courier New" w:hAnsi="Courier New"/>
          <w:sz w:val="15"/>
          <w:szCs w:val="15"/>
          <w:color w:val="auto"/>
        </w:rPr>
      </w:pPr>
    </w:p>
    <w:p>
      <w:pPr>
        <w:ind w:left="10" w:right="3259" w:firstLine="784"/>
        <w:spacing w:after="0" w:line="235" w:lineRule="auto"/>
        <w:tabs>
          <w:tab w:leader="none" w:pos="115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subject to the Plan may be unissued shares or reacquired shares, bought on the market or otherwise.</w:t>
      </w:r>
    </w:p>
    <w:p>
      <w:pPr>
        <w:spacing w:after="0" w:line="34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3</w:t>
      </w: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Options shall be granted only to Non-Employee Directors of the Company.</w:t>
      </w:r>
    </w:p>
    <w:p>
      <w:pPr>
        <w:spacing w:after="0" w:line="174"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NON-DISCRETIONARY GRANTS.</w:t>
      </w:r>
    </w:p>
    <w:p>
      <w:pPr>
        <w:spacing w:after="0" w:line="174" w:lineRule="exact"/>
        <w:rPr>
          <w:rFonts w:ascii="Courier New" w:cs="Courier New" w:eastAsia="Courier New" w:hAnsi="Courier New"/>
          <w:sz w:val="15"/>
          <w:szCs w:val="15"/>
          <w:color w:val="auto"/>
        </w:rPr>
      </w:pPr>
    </w:p>
    <w:p>
      <w:pPr>
        <w:ind w:left="10" w:right="3259" w:firstLine="784"/>
        <w:spacing w:after="0" w:line="258" w:lineRule="auto"/>
        <w:tabs>
          <w:tab w:leader="none" w:pos="1155"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is, after the Adoption Date, elected for the first time to be a Non-Employee Director of the Company shall, upon the date of his initial election to be a Non-Employee Director by the Board or stockholders of the Company, be granted an option to purchase eighteen-thousand (18,000) shares of common stock of the Company on the terms and conditions set forth herein.</w:t>
      </w:r>
    </w:p>
    <w:p>
      <w:pPr>
        <w:spacing w:after="0" w:line="164" w:lineRule="exact"/>
        <w:rPr>
          <w:rFonts w:ascii="Courier New" w:cs="Courier New" w:eastAsia="Courier New" w:hAnsi="Courier New"/>
          <w:sz w:val="14"/>
          <w:szCs w:val="14"/>
          <w:color w:val="auto"/>
        </w:rPr>
      </w:pPr>
    </w:p>
    <w:p>
      <w:pPr>
        <w:ind w:left="10" w:right="3179" w:firstLine="784"/>
        <w:spacing w:after="0" w:line="237" w:lineRule="auto"/>
        <w:tabs>
          <w:tab w:leader="none" w:pos="1155"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1 of each year, commencing July 1, 1996, each person who is then a Non-Employee Director of the Company shall be granted an option to purchase four- thousand (4,000) shares of common stock of the Company on the terms and conditions set forth herein. Should the date of grant set forth above be a legal holiday, such grant shall be made on the next business day.</w:t>
      </w:r>
    </w:p>
    <w:p>
      <w:pPr>
        <w:spacing w:after="0" w:line="172"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PROVISIONS.</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contain the following terms and conditions:</w:t>
      </w:r>
    </w:p>
    <w:p>
      <w:pPr>
        <w:spacing w:after="0" w:line="174" w:lineRule="exact"/>
        <w:rPr>
          <w:rFonts w:ascii="Courier New" w:cs="Courier New" w:eastAsia="Courier New" w:hAnsi="Courier New"/>
          <w:sz w:val="15"/>
          <w:szCs w:val="15"/>
          <w:color w:val="auto"/>
        </w:rPr>
      </w:pPr>
    </w:p>
    <w:p>
      <w:pPr>
        <w:ind w:left="10" w:right="3539" w:firstLine="784"/>
        <w:spacing w:after="0" w:line="235" w:lineRule="auto"/>
        <w:tabs>
          <w:tab w:leader="none" w:pos="1155"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shall be exercisable after the expiration of ten (10) years from the date it was granted.</w:t>
      </w:r>
    </w:p>
    <w:p>
      <w:pPr>
        <w:spacing w:after="0" w:line="175" w:lineRule="exact"/>
        <w:rPr>
          <w:rFonts w:ascii="Courier New" w:cs="Courier New" w:eastAsia="Courier New" w:hAnsi="Courier New"/>
          <w:sz w:val="15"/>
          <w:szCs w:val="15"/>
          <w:color w:val="auto"/>
        </w:rPr>
      </w:pPr>
    </w:p>
    <w:p>
      <w:pPr>
        <w:ind w:left="10" w:right="3259" w:firstLine="784"/>
        <w:spacing w:after="0" w:line="237" w:lineRule="auto"/>
        <w:tabs>
          <w:tab w:leader="none" w:pos="1155"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each option shall be one-hundred percent (100%) of the fair market value of the stock subject to such option on the date such option is granted.</w:t>
      </w:r>
    </w:p>
    <w:p>
      <w:pPr>
        <w:spacing w:after="0" w:line="174"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stock acquired pursuant to an option shall be paid, to the extent permitted by applicable statutes and regulations, either (1) in cash at the time the option is exercised, or (2) by delivery to the Company of shares of common stock of the Company that have been held for the requisite period necessary to avoid a charge to the Company's reported earnings and valued at the fair market value on the date of exercise, or (3) by a combination of such methods of payment.</w:t>
      </w:r>
    </w:p>
    <w:p>
      <w:pPr>
        <w:spacing w:after="0" w:line="34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0" w:right="3179" w:firstLine="784"/>
        <w:spacing w:after="0" w:line="237" w:lineRule="auto"/>
        <w:tabs>
          <w:tab w:leader="none" w:pos="115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shall not be transferable except by will or by the laws of descent and distribution, and shall be exercisable during the lifetime of the person to whom the option is granted only by such person or by his guardian or legal representative.</w:t>
      </w:r>
    </w:p>
    <w:p>
      <w:pPr>
        <w:spacing w:after="0" w:line="176"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shall vest with respect to each optionee in four (4) equal annual installments commencing on the date one year after the date of grant of the option, provided that the optionee has, during the entire year prior to such vesting date, continuously served as a Non-Employee Director or as an employee of or consultant to the Company or any Affiliate of the Company, whereupon such option shall become fully exercisable in accordance with its terms with respect to that portion of the shares represented by that installment.</w:t>
      </w:r>
    </w:p>
    <w:p>
      <w:pPr>
        <w:spacing w:after="0" w:line="177" w:lineRule="exact"/>
        <w:rPr>
          <w:rFonts w:ascii="Courier New" w:cs="Courier New" w:eastAsia="Courier New" w:hAnsi="Courier New"/>
          <w:sz w:val="15"/>
          <w:szCs w:val="15"/>
          <w:color w:val="auto"/>
        </w:rPr>
      </w:pPr>
    </w:p>
    <w:p>
      <w:pPr>
        <w:ind w:left="10" w:right="3259" w:firstLine="784"/>
        <w:spacing w:after="0" w:line="256" w:lineRule="auto"/>
        <w:tabs>
          <w:tab w:leader="none" w:pos="1155"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require any optionee, or any person to whom an option is transferred under subparagraph 6(d), as a condition of exercising any such option: (1) to give written assurances satisfactory to the Company as to the optionee's knowledge and experience in financial and business matters; and</w:t>
      </w:r>
    </w:p>
    <w:p>
      <w:pPr>
        <w:spacing w:after="0" w:line="1"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written assurances satisfactory to the Company stating that such person is acquiring the stock subject to the option for such person's own account and not with any present intention of selling or otherwise distributing the stock. These requirements, and any assurances given pursuant to such requirements, shall be inoperative if (i) the issuance of the shares upon the exercise of the option has been registered under a then-currently-effective registration statement under the Securities Act of 1933, as amended (the "Securities Act"), or (ii), as to any particular requirement, a determination is made by counsel for the Company that such requirement need not be met in the circumstances under the then-applicable securities laws.</w:t>
      </w:r>
    </w:p>
    <w:p>
      <w:pPr>
        <w:spacing w:after="0" w:line="179" w:lineRule="exact"/>
        <w:rPr>
          <w:rFonts w:ascii="Courier New" w:cs="Courier New" w:eastAsia="Courier New" w:hAnsi="Courier New"/>
          <w:sz w:val="15"/>
          <w:szCs w:val="15"/>
          <w:color w:val="auto"/>
        </w:rPr>
      </w:pPr>
    </w:p>
    <w:p>
      <w:pPr>
        <w:ind w:left="10" w:right="3359" w:firstLine="784"/>
        <w:spacing w:after="0" w:line="258" w:lineRule="auto"/>
        <w:tabs>
          <w:tab w:leader="none" w:pos="1155"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an option may not be exercised unless the shares issuable upon exercise of such option are then registered under the Securities Act or, if such shares are not then so registered, the Company has determined that such exercise and issuance would be exempt from the registration requirements of the Securities Act.</w:t>
      </w:r>
    </w:p>
    <w:p>
      <w:pPr>
        <w:spacing w:after="0" w:line="32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5</w:t>
      </w:r>
    </w:p>
    <w:p>
      <w:pPr>
        <w:ind w:left="790" w:hanging="790"/>
        <w:spacing w:after="0"/>
        <w:tabs>
          <w:tab w:leader="none" w:pos="79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74" w:lineRule="exact"/>
        <w:rPr>
          <w:rFonts w:ascii="Courier New" w:cs="Courier New" w:eastAsia="Courier New" w:hAnsi="Courier New"/>
          <w:sz w:val="15"/>
          <w:szCs w:val="15"/>
          <w:color w:val="auto"/>
        </w:rPr>
      </w:pPr>
    </w:p>
    <w:p>
      <w:pPr>
        <w:ind w:left="10" w:right="3179" w:firstLine="784"/>
        <w:spacing w:after="0" w:line="237" w:lineRule="auto"/>
        <w:tabs>
          <w:tab w:leader="none" w:pos="115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terms of the options granted under the Plan, the Company shall keep available at all times the number of shares of stock required to satisfy such options.</w:t>
      </w:r>
    </w:p>
    <w:p>
      <w:pPr>
        <w:spacing w:after="0" w:line="174" w:lineRule="exact"/>
        <w:rPr>
          <w:rFonts w:ascii="Courier New" w:cs="Courier New" w:eastAsia="Courier New" w:hAnsi="Courier New"/>
          <w:sz w:val="15"/>
          <w:szCs w:val="15"/>
          <w:color w:val="auto"/>
        </w:rPr>
      </w:pPr>
    </w:p>
    <w:p>
      <w:pPr>
        <w:ind w:left="10" w:right="3179" w:firstLine="784"/>
        <w:spacing w:after="0" w:line="257" w:lineRule="auto"/>
        <w:tabs>
          <w:tab w:leader="none" w:pos="115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seek to obtain from each regulatory commission or agency having jurisdiction over the Plan such authority as may be required to issue and sell shares of stock upon exercise of the options granted under the Plan; provided, however, that this undertaking shall not require the Company to register under the Securities Act either the Plan, any option granted under the Plan, or any stock issued or issuable pursuant to any such option. If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options.</w:t>
      </w:r>
    </w:p>
    <w:p>
      <w:pPr>
        <w:spacing w:after="0" w:line="160"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75" w:lineRule="exact"/>
        <w:rPr>
          <w:sz w:val="20"/>
          <w:szCs w:val="20"/>
          <w:color w:val="auto"/>
        </w:rPr>
      </w:pPr>
    </w:p>
    <w:p>
      <w:pPr>
        <w:ind w:left="10" w:right="3359" w:firstLine="793"/>
        <w:spacing w:after="0" w:line="235" w:lineRule="auto"/>
        <w:rPr>
          <w:sz w:val="20"/>
          <w:szCs w:val="20"/>
          <w:color w:val="auto"/>
        </w:rPr>
      </w:pPr>
      <w:r>
        <w:rPr>
          <w:rFonts w:ascii="Courier New" w:cs="Courier New" w:eastAsia="Courier New" w:hAnsi="Courier New"/>
          <w:sz w:val="15"/>
          <w:szCs w:val="15"/>
          <w:color w:val="auto"/>
        </w:rPr>
        <w:t>Proceeds from the sale of stock pursuant to options granted under the Plan shall constitute general funds of the Company.</w:t>
      </w:r>
    </w:p>
    <w:p>
      <w:pPr>
        <w:spacing w:after="0" w:line="170" w:lineRule="exact"/>
        <w:rPr>
          <w:sz w:val="20"/>
          <w:szCs w:val="20"/>
          <w:color w:val="auto"/>
        </w:rPr>
      </w:pPr>
    </w:p>
    <w:p>
      <w:pPr>
        <w:ind w:left="790" w:hanging="790"/>
        <w:spacing w:after="0"/>
        <w:tabs>
          <w:tab w:leader="none" w:pos="7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10" w:right="3179" w:firstLine="784"/>
        <w:spacing w:after="0" w:line="237" w:lineRule="auto"/>
        <w:tabs>
          <w:tab w:leader="none" w:pos="115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 optionee nor any person to whom an option is transferred under subparagraph 6(d) shall be deemed to be the holder of, or to have any of the rights of a holder with respect to, any shares subject to such option unless and until such person has satisfied all requirements for exercise of the option pursuant to its terms.</w:t>
      </w:r>
    </w:p>
    <w:p>
      <w:pPr>
        <w:spacing w:after="0" w:line="178" w:lineRule="exact"/>
        <w:rPr>
          <w:rFonts w:ascii="Courier New" w:cs="Courier New" w:eastAsia="Courier New" w:hAnsi="Courier New"/>
          <w:sz w:val="15"/>
          <w:szCs w:val="15"/>
          <w:color w:val="auto"/>
        </w:rPr>
      </w:pPr>
    </w:p>
    <w:p>
      <w:pPr>
        <w:ind w:left="10" w:right="3179" w:firstLine="784"/>
        <w:spacing w:after="0" w:line="237" w:lineRule="auto"/>
        <w:tabs>
          <w:tab w:leader="none" w:pos="115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the Plan or in any instrument executed pursuant thereto shall confer upon any Non-Employee Director any right to continue in the service of the Company or any Affiliate or shall affect any right of the Company, its Board or stockholders or any Affiliate to terminate the service of any Non-Employee Director with or without cause.</w:t>
      </w:r>
    </w:p>
    <w:p>
      <w:pPr>
        <w:spacing w:after="0" w:line="178" w:lineRule="exact"/>
        <w:rPr>
          <w:rFonts w:ascii="Courier New" w:cs="Courier New" w:eastAsia="Courier New" w:hAnsi="Courier New"/>
          <w:sz w:val="15"/>
          <w:szCs w:val="15"/>
          <w:color w:val="auto"/>
        </w:rPr>
      </w:pPr>
    </w:p>
    <w:p>
      <w:pPr>
        <w:ind w:left="10" w:right="3179" w:firstLine="784"/>
        <w:spacing w:after="0" w:line="237" w:lineRule="auto"/>
        <w:tabs>
          <w:tab w:leader="none" w:pos="115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Non-Employee Director, individually or as a member of a group, and no beneficiary or other person claiming under or through him, shall have any right, title or</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interest in or to any option reserved for the purposes of the Plan except as to such shares of common stock, if any, as shall have been reserved for him pursuant to an option granted to him.</w:t>
      </w:r>
    </w:p>
    <w:p>
      <w:pPr>
        <w:spacing w:after="0" w:line="175" w:lineRule="exact"/>
        <w:rPr>
          <w:sz w:val="20"/>
          <w:szCs w:val="20"/>
          <w:color w:val="auto"/>
        </w:rPr>
      </w:pPr>
    </w:p>
    <w:p>
      <w:pPr>
        <w:ind w:left="10" w:right="3179" w:firstLine="784"/>
        <w:spacing w:after="0" w:line="238" w:lineRule="auto"/>
        <w:tabs>
          <w:tab w:leader="none" w:pos="115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each option made pursuant to the Plan, it shall be a condition precedent to the Company's obligation to issue or transfer shares to a Non-Employee Director, or an affiliate of such Non-Employee Director, or to evidence the removal of any restrictions on transfer, that such Non-Employee Director make arrangements satisfactory to the Company to insure that the amount of any federal or other withholding tax required to be withheld with respect to such sale or transfer, or such removal or lapse, is made available to the Company for timely payment of such tax.</w:t>
      </w:r>
    </w:p>
    <w:p>
      <w:pPr>
        <w:spacing w:after="0" w:line="17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74"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is made in the stock subject to the Plan, or subject to any option granted under the Plan (through merger, consolidation, reorganization, recapitalization, stock dividend, dividend in property other than cash, stock split, liquidating dividend, combination of shares, exchange of shares, change in corporate structure or otherwise), the Plan and outstanding options will be appropriately adjusted in the class(es) and maximum number of shares subject to the Plan and the class(es) and number of shares and price per share of stock subject to outstanding options.</w:t>
      </w:r>
    </w:p>
    <w:p>
      <w:pPr>
        <w:spacing w:after="0" w:line="177"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a dissolution or liquidation of the Company; (ii) a merger or consolidation in which the Company is not the surviving corporation; (iii) a reverse merger in which the Company is the surviving corporation but the shares of the Company's common stock outstanding immediately preceding the merger are converted by virtue of the merger into other property, whether in the form of securities, cash or otherwise; or (iv) any other capital reorganization in which more than fifty percent (50%) of the shares of the Company entitled to vote are exchanged, then, to the extent permitted by applicable law, the time during which outstanding options may be exercised shall be accelerated to permit the optionee to exercise all such options prior to such merger,</w:t>
      </w:r>
    </w:p>
    <w:p>
      <w:pPr>
        <w:spacing w:after="0" w:line="345"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consolidation, reverse merger or reorganization, and the options terminated if not exercised prior to such event.</w:t>
      </w:r>
    </w:p>
    <w:p>
      <w:pPr>
        <w:spacing w:after="0" w:line="170"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155"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at any time, and from time to time, may amend the Plan, provided, however, that the Board shall not amend the plan more than once every six months, with respect to the provisions of the plan which relate to the amount, price and timing of grants, other than to comport with changes in the Code, the Employee Retirement Income Security Act, or the rules thereunder. Except as provided in paragraph 10 relating to adjustments upon changes in stock, no amendment shall be effective unless approved by the stockholders of the Company within twelve (12) months before or after the adoption of the amendment, where the amendment will:</w:t>
      </w:r>
    </w:p>
    <w:p>
      <w:pPr>
        <w:spacing w:after="0" w:line="178" w:lineRule="exact"/>
        <w:rPr>
          <w:rFonts w:ascii="Courier New" w:cs="Courier New" w:eastAsia="Courier New" w:hAnsi="Courier New"/>
          <w:sz w:val="15"/>
          <w:szCs w:val="15"/>
          <w:color w:val="auto"/>
        </w:rPr>
      </w:pPr>
    </w:p>
    <w:p>
      <w:pPr>
        <w:ind w:left="1930" w:hanging="343"/>
        <w:spacing w:after="0"/>
        <w:tabs>
          <w:tab w:leader="none" w:pos="1930"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number of shares reserved for options under</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Plan;</w:t>
      </w:r>
    </w:p>
    <w:p>
      <w:pPr>
        <w:spacing w:after="0" w:line="174" w:lineRule="exact"/>
        <w:rPr>
          <w:rFonts w:ascii="Courier New" w:cs="Courier New" w:eastAsia="Courier New" w:hAnsi="Courier New"/>
          <w:sz w:val="14"/>
          <w:szCs w:val="14"/>
          <w:color w:val="auto"/>
        </w:rPr>
      </w:pPr>
    </w:p>
    <w:p>
      <w:pPr>
        <w:ind w:left="10" w:right="3259" w:firstLine="1577"/>
        <w:spacing w:after="0" w:line="237" w:lineRule="auto"/>
        <w:tabs>
          <w:tab w:leader="none" w:pos="1949"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requirements as to eligibility for participation in the Plan (to the extent such modification requires stockholder approval in order for the Plan to comply with the requirements of Rule 16b-3 promulgated under the Exchange Act); or</w:t>
      </w:r>
    </w:p>
    <w:p>
      <w:pPr>
        <w:spacing w:after="0" w:line="176" w:lineRule="exact"/>
        <w:rPr>
          <w:rFonts w:ascii="Courier New" w:cs="Courier New" w:eastAsia="Courier New" w:hAnsi="Courier New"/>
          <w:sz w:val="15"/>
          <w:szCs w:val="15"/>
          <w:color w:val="auto"/>
        </w:rPr>
      </w:pPr>
    </w:p>
    <w:p>
      <w:pPr>
        <w:ind w:left="10" w:right="3619" w:firstLine="1577"/>
        <w:spacing w:after="0" w:line="260" w:lineRule="auto"/>
        <w:tabs>
          <w:tab w:leader="none" w:pos="1949"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the Plan in any other way if such modification requires stockholder approval in order for the Plan to comply with the requirements of Rule 16b-3 promulgated under the Exchange Act.</w:t>
      </w:r>
    </w:p>
    <w:p>
      <w:pPr>
        <w:spacing w:after="0" w:line="162" w:lineRule="exact"/>
        <w:rPr>
          <w:rFonts w:ascii="Courier New" w:cs="Courier New" w:eastAsia="Courier New" w:hAnsi="Courier New"/>
          <w:sz w:val="14"/>
          <w:szCs w:val="14"/>
          <w:color w:val="auto"/>
        </w:rPr>
      </w:pPr>
    </w:p>
    <w:p>
      <w:pPr>
        <w:ind w:left="10" w:right="3259" w:firstLine="784"/>
        <w:spacing w:after="0" w:line="237" w:lineRule="auto"/>
        <w:tabs>
          <w:tab w:leader="none" w:pos="1155"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option granted before any amendment of the Plan shall not be altered or impaired by such amendment of the Plan unless (i) the Company requests the consent of the person to whom the option was granted and (ii) such person consents in writing.</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74" w:lineRule="exact"/>
        <w:rPr>
          <w:rFonts w:ascii="Courier New" w:cs="Courier New" w:eastAsia="Courier New" w:hAnsi="Courier New"/>
          <w:sz w:val="15"/>
          <w:szCs w:val="15"/>
          <w:color w:val="auto"/>
        </w:rPr>
      </w:pPr>
    </w:p>
    <w:p>
      <w:pPr>
        <w:ind w:left="10" w:right="3359" w:firstLine="784"/>
        <w:spacing w:after="0" w:line="260" w:lineRule="auto"/>
        <w:tabs>
          <w:tab w:leader="none" w:pos="1155"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suspend or terminate the Plan at any time. Unless sooner terminated, the Plan shall terminate on July 1, 2002. No options may be granted under the Plan while the Plan is suspended or after it is terminated.</w:t>
      </w:r>
    </w:p>
    <w:p>
      <w:pPr>
        <w:spacing w:after="0" w:line="32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3"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both"/>
        <w:ind w:left="10" w:right="3359" w:firstLine="784"/>
        <w:spacing w:after="0" w:line="260" w:lineRule="auto"/>
        <w:tabs>
          <w:tab w:leader="none" w:pos="115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and obligations under any option granted while the Plan is in effect shall not be altered or impaired by suspension or termination of the Plan, except with the consent of the person to whom the option was granted.</w:t>
      </w:r>
    </w:p>
    <w:p>
      <w:pPr>
        <w:spacing w:after="0" w:line="157"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 CONDITIONS OF EXERCISE.</w:t>
      </w:r>
    </w:p>
    <w:p>
      <w:pPr>
        <w:spacing w:after="0" w:line="174" w:lineRule="exact"/>
        <w:rPr>
          <w:rFonts w:ascii="Courier New" w:cs="Courier New" w:eastAsia="Courier New" w:hAnsi="Courier New"/>
          <w:sz w:val="15"/>
          <w:szCs w:val="15"/>
          <w:color w:val="auto"/>
        </w:rPr>
      </w:pPr>
    </w:p>
    <w:p>
      <w:pPr>
        <w:ind w:left="10" w:right="3259" w:firstLine="784"/>
        <w:spacing w:after="0" w:line="237" w:lineRule="auto"/>
        <w:tabs>
          <w:tab w:leader="none" w:pos="115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upon adoption by the Board of Directors, subject to the condition subsequent that the Plan is approved by the stockholders of the Company.</w:t>
      </w:r>
    </w:p>
    <w:p>
      <w:pPr>
        <w:spacing w:after="0" w:line="174" w:lineRule="exact"/>
        <w:rPr>
          <w:rFonts w:ascii="Courier New" w:cs="Courier New" w:eastAsia="Courier New" w:hAnsi="Courier New"/>
          <w:sz w:val="15"/>
          <w:szCs w:val="15"/>
          <w:color w:val="auto"/>
        </w:rPr>
      </w:pPr>
    </w:p>
    <w:p>
      <w:pPr>
        <w:ind w:left="10" w:right="3259" w:firstLine="784"/>
        <w:spacing w:after="0" w:line="265" w:lineRule="auto"/>
        <w:tabs>
          <w:tab w:leader="none" w:pos="115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granted under the Plan shall be exercised or exercisable unless and until the condition of subparagraph 13(a) above has been met.</w:t>
      </w:r>
    </w:p>
    <w:p>
      <w:pPr>
        <w:spacing w:after="0" w:line="322"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8</w:t>
      </w:r>
    </w:p>
    <w:sectPr>
      <w:pgSz w:w="11900" w:h="16838" w:orient="portrait"/>
      <w:cols w:equalWidth="0" w:num="1">
        <w:col w:w="10229"/>
      </w:cols>
      <w:pgMar w:left="23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619"/>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1">
    <w:nsid w:val="25E45D32"/>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2">
    <w:nsid w:val="519B500D"/>
    <w:multiLevelType w:val="hybridMultilevel"/>
    <w:lvl w:ilvl="0">
      <w:lvlJc w:val="left"/>
      <w:lvlText w:val="%1."/>
      <w:numFmt w:val="decimal"/>
      <w:start w:val="4"/>
    </w:lvl>
    <w:lvl w:ilvl="1">
      <w:lvlJc w:val="left"/>
      <w:lvlText w:val="(%2)"/>
      <w:numFmt w:val="lowerLetter"/>
      <w:start w:val="1"/>
    </w:lvl>
  </w:abstractNum>
  <w:abstractNum w:abstractNumId="13">
    <w:nsid w:val="431BD7B7"/>
    <w:multiLevelType w:val="hybridMultilevel"/>
    <w:lvl w:ilvl="0">
      <w:lvlJc w:val="left"/>
      <w:lvlText w:val="%1"/>
      <w:numFmt w:val="decimal"/>
      <w:start w:val="1"/>
    </w:lvl>
    <w:lvl w:ilvl="1">
      <w:lvlJc w:val="left"/>
      <w:lvlText w:val="(%2)"/>
      <w:numFmt w:val="lowerLetter"/>
      <w:start w:val="4"/>
    </w:lvl>
  </w:abstractNum>
  <w:abstractNum w:abstractNumId="14">
    <w:nsid w:val="3F2DBA31"/>
    <w:multiLevelType w:val="hybridMultilevel"/>
    <w:lvl w:ilvl="0">
      <w:lvlJc w:val="left"/>
      <w:lvlText w:val="(%1)"/>
      <w:numFmt w:val="decimal"/>
      <w:start w:val="2"/>
    </w:lvl>
    <w:lvl w:ilvl="1">
      <w:lvlJc w:val="left"/>
      <w:lvlText w:val="(%2)"/>
      <w:numFmt w:val="lowerLetter"/>
      <w:start w:val="7"/>
    </w:lvl>
  </w:abstractNum>
  <w:abstractNum w:abstractNumId="15">
    <w:nsid w:val="7C83E458"/>
    <w:multiLevelType w:val="hybridMultilevel"/>
    <w:lvl w:ilvl="0">
      <w:lvlJc w:val="left"/>
      <w:lvlText w:val="%1."/>
      <w:numFmt w:val="decimal"/>
      <w:start w:val="7"/>
    </w:lvl>
    <w:lvl w:ilvl="1">
      <w:lvlJc w:val="left"/>
      <w:lvlText w:val="(%2)"/>
      <w:numFmt w:val="lowerLetter"/>
      <w:start w:val="1"/>
    </w:lvl>
  </w:abstractNum>
  <w:abstractNum w:abstractNumId="16">
    <w:nsid w:val="257130A3"/>
    <w:multiLevelType w:val="hybridMultilevel"/>
    <w:lvl w:ilvl="0">
      <w:lvlJc w:val="left"/>
      <w:lvlText w:val="%1."/>
      <w:numFmt w:val="decimal"/>
      <w:start w:val="9"/>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4"/>
    </w:lvl>
  </w:abstractNum>
  <w:abstractNum w:abstractNumId="18">
    <w:nsid w:val="436C6125"/>
    <w:multiLevelType w:val="hybridMultilevel"/>
    <w:lvl w:ilvl="0">
      <w:lvlJc w:val="left"/>
      <w:lvlText w:val="%1."/>
      <w:numFmt w:val="decimal"/>
      <w:start w:val="10"/>
    </w:lvl>
    <w:lvl w:ilvl="1">
      <w:lvlJc w:val="left"/>
      <w:lvlText w:val="(%2)"/>
      <w:numFmt w:val="lowerLetter"/>
      <w:start w:val="1"/>
    </w:lvl>
  </w:abstractNum>
  <w:abstractNum w:abstractNumId="19">
    <w:nsid w:val="628C895D"/>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0">
    <w:nsid w:val="333AB105"/>
    <w:multiLevelType w:val="hybridMultilevel"/>
    <w:lvl w:ilvl="0">
      <w:lvlJc w:val="left"/>
      <w:lvlText w:val="%1"/>
      <w:numFmt w:val="decimal"/>
      <w:start w:val="1"/>
    </w:lvl>
    <w:lvl w:ilvl="1">
      <w:lvlJc w:val="left"/>
      <w:lvlText w:val="(%2)"/>
      <w:numFmt w:val="lowerLetter"/>
      <w:start w:val="2"/>
    </w:lvl>
  </w:abstractNum>
  <w:abstractNum w:abstractNumId="21">
    <w:nsid w:val="721DA317"/>
    <w:multiLevelType w:val="hybridMultilevel"/>
    <w:lvl w:ilvl="0">
      <w:lvlJc w:val="left"/>
      <w:lvlText w:val="%1."/>
      <w:numFmt w:val="decimal"/>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2019-12-12T07:02:29Z</dcterms:created>
  <dcterms:modified xsi:type="dcterms:W3CDTF">2019-12-12T07:02:29Z</dcterms:modified>
</cp:coreProperties>
</file>