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BENNETT C FRANK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5,536</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83.579</w:t>
            </w:r>
            <w:r>
              <w:rPr>
                <w:rFonts w:ascii="Times;serif" w:hAnsi="Times;serif"/>
                <w:color w:val="008000"/>
                <w:position w:val="7"/>
                <w:sz w:val="16"/>
                <w:sz w:val="20"/>
                <w:shd w:fill="FFFFFF" w:val="clear"/>
              </w:rPr>
              <w:t>(2)</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75,018</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w:t>
            </w:r>
            <w:r>
              <w:rPr>
                <w:rFonts w:ascii="Times;serif" w:hAnsi="Times;serif"/>
                <w:color w:val="008000"/>
                <w:position w:val="7"/>
                <w:sz w:val="16"/>
                <w:sz w:val="20"/>
                <w:shd w:fill="FFFFFF" w:val="clear"/>
              </w:rPr>
              <w:t>(3)</w:t>
            </w:r>
            <w:r>
              <w:rPr/>
              <w:t xml:space="preserve"> </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85.462</w:t>
            </w:r>
            <w:r>
              <w:rPr>
                <w:rFonts w:ascii="Times;serif" w:hAnsi="Times;serif"/>
                <w:color w:val="008000"/>
                <w:position w:val="7"/>
                <w:sz w:val="16"/>
                <w:sz w:val="20"/>
                <w:shd w:fill="FFFFFF" w:val="clear"/>
              </w:rPr>
              <w:t>(4)</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12,109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Rule 10b5-1 Trading Plan adopted by the reporting person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$83.070 to $84.065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(2)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transfer of 15,000 shares of common stock from direct ownership to indirect ownership held by the Clarence Frank Bennett TTEE Bennett Living Trust Dated 3/12/2008, of which the reporting person is the co-trustee with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$85.015 to $85.730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(3)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 vested on January 15, 2026. Upon vesting, the restricted stock unit was paid out in whole shares of Ionis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C. Frank Bennett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73387"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842</Words>
  <Characters>4501</Characters>
  <CharactersWithSpaces>5258</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