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dgardoc.xml.htm"/>
      <w:bookmarkStart w:id="1" w:name="ksedgar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Diaz Allene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2855 GAZELLE COURT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CARLSBAD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92010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IONIS PHARMACEUTICALS INC</w:t>
              </w:r>
            </w:hyperlink>
            <w:r>
              <w:rPr/>
              <w:t xml:space="preserve"> [ </w:t>
            </w:r>
            <w:r>
              <w:rPr>
                <w:rFonts w:ascii="Times;serif" w:hAnsi="Times;serif"/>
                <w:color w:val="0000FF"/>
                <w:sz w:val="24"/>
                <w:shd w:fill="FFFFFF" w:val="clear"/>
              </w:rPr>
              <w:t>IONS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51"/>
        <w:gridCol w:w="912"/>
        <w:gridCol w:w="782"/>
        <w:gridCol w:w="605"/>
        <w:gridCol w:w="343"/>
        <w:gridCol w:w="964"/>
        <w:gridCol w:w="435"/>
        <w:gridCol w:w="981"/>
        <w:gridCol w:w="1134"/>
        <w:gridCol w:w="978"/>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5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8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10,111</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47.11</w:t>
            </w:r>
            <w:r>
              <w:rPr/>
              <w:t xml:space="preserve"> </w:t>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13,922</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10,111</w:t>
            </w:r>
            <w:r>
              <w:rPr>
                <w:rFonts w:ascii="Times;serif" w:hAnsi="Times;serif"/>
                <w:color w:val="008000"/>
                <w:position w:val="7"/>
                <w:sz w:val="16"/>
                <w:sz w:val="20"/>
                <w:shd w:fill="FFFFFF" w:val="clear"/>
              </w:rPr>
              <w:t>(1)</w:t>
            </w:r>
            <w:r>
              <w:rPr/>
              <w:t xml:space="preserve"> </w:t>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85.4156</w:t>
            </w:r>
            <w:r>
              <w:rPr>
                <w:rFonts w:ascii="Times;serif" w:hAnsi="Times;serif"/>
                <w:color w:val="008000"/>
                <w:position w:val="7"/>
                <w:sz w:val="16"/>
                <w:sz w:val="20"/>
                <w:shd w:fill="FFFFFF" w:val="clear"/>
              </w:rPr>
              <w:t>(2)</w:t>
            </w:r>
            <w:r>
              <w:rPr/>
              <w:t xml:space="preserve"> </w:t>
            </w:r>
          </w:p>
        </w:tc>
        <w:tc>
          <w:tcPr>
            <w:tcW w:w="11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3,811</w:t>
            </w:r>
          </w:p>
        </w:tc>
        <w:tc>
          <w:tcPr>
            <w:tcW w:w="9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539" w:type="dxa"/>
        <w:jc w:val="left"/>
        <w:tblInd w:w="-7" w:type="dxa"/>
        <w:tblLayout w:type="fixed"/>
        <w:tblCellMar>
          <w:top w:w="60" w:type="dxa"/>
          <w:left w:w="60" w:type="dxa"/>
          <w:bottom w:w="60" w:type="dxa"/>
          <w:right w:w="60" w:type="dxa"/>
        </w:tblCellMar>
      </w:tblPr>
      <w:tblGrid>
        <w:gridCol w:w="132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53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32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32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2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Non-Qualified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47.11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10,111</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06/30/2034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10,111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sold pursuant to a Rule 10b5-1 Trading Plan adopted by the reporting person on November 25,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$85.040 to $85.730 inclusive. The reporting person undertakes to provide to Ionis Pharmaceuticals, Inc. any security holder of Ionis Pharmaceuticals, Inc. or the staff of the Securities and Exchange Commission, upon request, full information regarding the number of shares sold at each separate price within the ranges set forth in footnote (2) on this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Patrick R. O’Neil, attorney-in-fact For: Allene M. Diaz</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73314" TargetMode="External"/><Relationship Id="rId5" Type="http://schemas.openxmlformats.org/officeDocument/2006/relationships/hyperlink" Target="http://www.sec.gov/cgi-bin/browse-edgar?action=getcompany&amp;CIK=00008740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686</Words>
  <Characters>3706</Characters>
  <CharactersWithSpaces>4316</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